
<file path=[Content_Types].xml><?xml version="1.0" encoding="utf-8"?>
<Types xmlns="http://schemas.openxmlformats.org/package/2006/content-types">
  <Default Extension="png" ContentType="image/png"/>
  <Default Extension="vsd" ContentType="application/vnd.visio"/>
  <Default Extension="bin" ContentType="application/vnd.openxmlformats-officedocument.oleObject"/>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566F73B9" w14:textId="1A3448AD" w:rsidR="00F81621" w:rsidRDefault="00793A9A" w:rsidP="00AE02B8">
      <w:pPr>
        <w:pStyle w:val="Heading2"/>
      </w:pPr>
      <w:bookmarkStart w:id="0" w:name="_Toc51661990"/>
      <w:r>
        <w:t xml:space="preserve">Appendix A: </w:t>
      </w:r>
      <w:r w:rsidR="009F2775">
        <w:t>Current Environment Overview</w:t>
      </w:r>
      <w:bookmarkEnd w:id="0"/>
    </w:p>
    <w:p w14:paraId="0E2DE545" w14:textId="27DB1546" w:rsidR="00F81621" w:rsidRDefault="00F81621" w:rsidP="00F81621">
      <w:r>
        <w:t xml:space="preserve">The following subsections provide an overview of the current technical environment. </w:t>
      </w:r>
    </w:p>
    <w:p w14:paraId="11C1395F" w14:textId="77777777" w:rsidR="00F81621" w:rsidRDefault="00F81621" w:rsidP="00AE02B8">
      <w:pPr>
        <w:pStyle w:val="Heading3"/>
      </w:pPr>
      <w:bookmarkStart w:id="1" w:name="_Toc51661991"/>
      <w:r>
        <w:t>N-FOCUS – Nebraska’s Legacy Integrated Health and Human Services and Benefits Application</w:t>
      </w:r>
      <w:bookmarkEnd w:id="1"/>
    </w:p>
    <w:p w14:paraId="3CC2B8EB" w14:textId="38BA4709" w:rsidR="00F81621" w:rsidRDefault="00F81621" w:rsidP="006C07C3">
      <w:r w:rsidRPr="007C15B5">
        <w:t>Nebraska Family Online Client User System</w:t>
      </w:r>
      <w:r w:rsidR="006808E6">
        <w:t xml:space="preserve"> (</w:t>
      </w:r>
      <w:r w:rsidR="006808E6" w:rsidRPr="007C15B5">
        <w:t>N-FOCUS</w:t>
      </w:r>
      <w:r>
        <w:t>) is</w:t>
      </w:r>
      <w:r w:rsidRPr="007C15B5">
        <w:t xml:space="preserve"> an integrated system that automates benefit/service delivery and case management for </w:t>
      </w:r>
      <w:r>
        <w:t>more than 30</w:t>
      </w:r>
      <w:r w:rsidRPr="007C15B5">
        <w:t xml:space="preserve"> </w:t>
      </w:r>
      <w:r w:rsidR="007C3775">
        <w:t>DHHS</w:t>
      </w:r>
      <w:r w:rsidRPr="007C15B5">
        <w:t xml:space="preserve"> programs</w:t>
      </w:r>
      <w:r>
        <w:t>, including Aid to Dependent Children</w:t>
      </w:r>
      <w:r w:rsidR="00B860A5">
        <w:t xml:space="preserve"> (ADC)</w:t>
      </w:r>
      <w:r>
        <w:t>, Supplemental Nutrition Assistance Program</w:t>
      </w:r>
      <w:r w:rsidR="00B860A5">
        <w:t xml:space="preserve"> (SNAP)</w:t>
      </w:r>
      <w:r>
        <w:t>, Child Welfare and Medicaid</w:t>
      </w:r>
      <w:r w:rsidRPr="007C15B5">
        <w:t xml:space="preserve">. </w:t>
      </w:r>
      <w:r>
        <w:t>The system was initially developed in partnership with Accenture as the prime Systems Integrator.</w:t>
      </w:r>
      <w:r w:rsidRPr="007C15B5">
        <w:t xml:space="preserve"> N-FOCUS functions include client/case intake, eligibility determination, case management, service authorization, benefit payments, claims processing and payments, provider contract management, interfacing with other </w:t>
      </w:r>
      <w:r>
        <w:t xml:space="preserve">private, </w:t>
      </w:r>
      <w:r w:rsidRPr="007C15B5">
        <w:t>state and federal organizations, and management and government reporting. N</w:t>
      </w:r>
      <w:r w:rsidRPr="007C15B5">
        <w:noBreakHyphen/>
        <w:t>FOCUS was implemented in production in mid-1996 and is operational statewide.</w:t>
      </w:r>
    </w:p>
    <w:p w14:paraId="153CED2F" w14:textId="62A01708" w:rsidR="00F81621" w:rsidRPr="007C15B5" w:rsidRDefault="00F81621" w:rsidP="006C07C3">
      <w:r w:rsidRPr="00C03545">
        <w:t>The</w:t>
      </w:r>
      <w:r w:rsidRPr="007C15B5">
        <w:t xml:space="preserve"> typical N</w:t>
      </w:r>
      <w:r w:rsidRPr="007C15B5">
        <w:noBreakHyphen/>
        <w:t xml:space="preserve">FOCUS user is a </w:t>
      </w:r>
      <w:r>
        <w:t>DHHS</w:t>
      </w:r>
      <w:r w:rsidRPr="007C15B5">
        <w:t xml:space="preserve"> </w:t>
      </w:r>
      <w:r>
        <w:t>or contracted employee.</w:t>
      </w:r>
      <w:r w:rsidRPr="007C15B5">
        <w:t xml:space="preserve"> N-FOCUS supports over 2500 </w:t>
      </w:r>
      <w:r>
        <w:t xml:space="preserve">workers, operating from offices around the State as well as from 4 customer service centers and </w:t>
      </w:r>
      <w:r w:rsidRPr="00B96A6E">
        <w:t>a</w:t>
      </w:r>
      <w:r>
        <w:rPr>
          <w:color w:val="FF0000"/>
        </w:rPr>
        <w:t xml:space="preserve"> </w:t>
      </w:r>
      <w:r w:rsidRPr="00B96A6E">
        <w:t>centralized scanning facility</w:t>
      </w:r>
      <w:r>
        <w:t>. Some cases are assigned to specific workers; however, the majority of cases are managed via a universal caseload methodology coordinated by the customer service centers.</w:t>
      </w:r>
    </w:p>
    <w:p w14:paraId="5D63E76F" w14:textId="334CA9B0" w:rsidR="00F81621" w:rsidRPr="00F60F43" w:rsidRDefault="00F81621" w:rsidP="006C07C3">
      <w:r w:rsidRPr="00C03545">
        <w:t>N-FOCUS</w:t>
      </w:r>
      <w:r w:rsidRPr="007C15B5">
        <w:t xml:space="preserve"> has both batch and online components and stores data in </w:t>
      </w:r>
      <w:r w:rsidR="00324327">
        <w:t>Db2</w:t>
      </w:r>
      <w:r>
        <w:t xml:space="preserve"> and SQL Server.</w:t>
      </w:r>
      <w:r w:rsidR="00B83EBC">
        <w:t xml:space="preserve"> </w:t>
      </w:r>
      <w:r w:rsidRPr="00F60F43">
        <w:t xml:space="preserve">The </w:t>
      </w:r>
      <w:r w:rsidR="00324327">
        <w:t>Db2</w:t>
      </w:r>
      <w:r w:rsidRPr="00F60F43">
        <w:t xml:space="preserve"> database has over </w:t>
      </w:r>
      <w:r>
        <w:t>650</w:t>
      </w:r>
      <w:r w:rsidRPr="00F60F43">
        <w:t xml:space="preserve"> tables, some with a corresponding archive table.</w:t>
      </w:r>
      <w:r w:rsidR="00B83EBC">
        <w:t xml:space="preserve"> </w:t>
      </w:r>
      <w:r w:rsidRPr="00F60F43">
        <w:t xml:space="preserve">There are over </w:t>
      </w:r>
      <w:r>
        <w:t>785</w:t>
      </w:r>
      <w:r w:rsidRPr="00F60F43">
        <w:t xml:space="preserve"> relationships between tables, </w:t>
      </w:r>
      <w:r>
        <w:t>1278</w:t>
      </w:r>
      <w:r w:rsidRPr="00F60F43">
        <w:t xml:space="preserve"> indexes, and over </w:t>
      </w:r>
      <w:r>
        <w:t>9665</w:t>
      </w:r>
      <w:r w:rsidRPr="00F60F43">
        <w:t xml:space="preserve"> attributes.</w:t>
      </w:r>
      <w:r w:rsidR="00B83EBC">
        <w:t xml:space="preserve"> </w:t>
      </w:r>
      <w:r w:rsidRPr="00F60F43">
        <w:t>There are over 1.</w:t>
      </w:r>
      <w:r>
        <w:t>7</w:t>
      </w:r>
      <w:r w:rsidRPr="00F60F43">
        <w:t xml:space="preserve"> billion rows of production data with over </w:t>
      </w:r>
      <w:r>
        <w:t>193 million rows in one table with an average table size of 3.2 million rows.</w:t>
      </w:r>
    </w:p>
    <w:p w14:paraId="7BE6B249" w14:textId="187799DC" w:rsidR="005F3877" w:rsidRDefault="005F3877" w:rsidP="005F3877">
      <w:pPr>
        <w:pStyle w:val="FigureNumberedList"/>
      </w:pPr>
      <w:r>
        <w:t>Core Medicaid Enterprise System</w:t>
      </w:r>
    </w:p>
    <w:p w14:paraId="3F874607" w14:textId="43965EB9" w:rsidR="005F3877" w:rsidRPr="00F60F43" w:rsidRDefault="005F3877" w:rsidP="006C07C3">
      <w:r w:rsidRPr="00E846CE">
        <w:rPr>
          <w:noProof/>
        </w:rPr>
        <w:drawing>
          <wp:inline distT="0" distB="0" distL="0" distR="0" wp14:anchorId="7ABCB36C" wp14:editId="29636634">
            <wp:extent cx="5943600" cy="4036695"/>
            <wp:effectExtent l="0" t="0" r="0" b="1905"/>
            <wp:docPr id="10" name="Picture 9">
              <a:extLst xmlns:a="http://schemas.openxmlformats.org/drawingml/2006/main">
                <a:ext uri="{FF2B5EF4-FFF2-40B4-BE49-F238E27FC236}">
                  <a16:creationId xmlns:a16="http://schemas.microsoft.com/office/drawing/2014/main" id="{7E1EA5CA-5470-42FC-81F6-EA239751F5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7E1EA5CA-5470-42FC-81F6-EA239751F5E7}"/>
                        </a:ext>
                      </a:extLst>
                    </pic:cNvPr>
                    <pic:cNvPicPr>
                      <a:picLocks noChangeAspect="1"/>
                    </pic:cNvPicPr>
                  </pic:nvPicPr>
                  <pic:blipFill>
                    <a:blip r:embed="rId11"/>
                    <a:stretch>
                      <a:fillRect/>
                    </a:stretch>
                  </pic:blipFill>
                  <pic:spPr>
                    <a:xfrm>
                      <a:off x="0" y="0"/>
                      <a:ext cx="5943600" cy="4036695"/>
                    </a:xfrm>
                    <a:prstGeom prst="rect">
                      <a:avLst/>
                    </a:prstGeom>
                  </pic:spPr>
                </pic:pic>
              </a:graphicData>
            </a:graphic>
          </wp:inline>
        </w:drawing>
      </w:r>
    </w:p>
    <w:p w14:paraId="5CB2727A" w14:textId="28811CAC" w:rsidR="00F81621" w:rsidRDefault="00F81621" w:rsidP="006C07C3">
      <w:r w:rsidRPr="00781BEC">
        <w:lastRenderedPageBreak/>
        <w:t>The batch system is coded in Z/OS COBOL and executes in a Z/OS environment.</w:t>
      </w:r>
      <w:r w:rsidR="00B83EBC">
        <w:t xml:space="preserve"> </w:t>
      </w:r>
      <w:r w:rsidRPr="00562074">
        <w:rPr>
          <w:snapToGrid w:val="0"/>
        </w:rPr>
        <w:t xml:space="preserve">There are more than </w:t>
      </w:r>
      <w:r>
        <w:rPr>
          <w:snapToGrid w:val="0"/>
        </w:rPr>
        <w:t>660</w:t>
      </w:r>
      <w:r w:rsidRPr="00562074">
        <w:rPr>
          <w:snapToGrid w:val="0"/>
        </w:rPr>
        <w:t xml:space="preserve"> </w:t>
      </w:r>
      <w:r w:rsidRPr="00562074">
        <w:t xml:space="preserve">procedures, over </w:t>
      </w:r>
      <w:r>
        <w:t xml:space="preserve">850 </w:t>
      </w:r>
      <w:r w:rsidRPr="00562074">
        <w:t xml:space="preserve">programs, and over </w:t>
      </w:r>
      <w:r>
        <w:t>375</w:t>
      </w:r>
      <w:r w:rsidRPr="00562074">
        <w:t xml:space="preserve"> stored procedures.</w:t>
      </w:r>
      <w:r w:rsidR="00B83EBC">
        <w:t xml:space="preserve"> </w:t>
      </w:r>
      <w:r w:rsidRPr="00562074">
        <w:t xml:space="preserve">The application generates </w:t>
      </w:r>
      <w:r>
        <w:t>over 800</w:t>
      </w:r>
      <w:r w:rsidRPr="00562074">
        <w:t xml:space="preserve"> reports using Crystal Reports that are published to a web portal through Business Objects Enterprise software.</w:t>
      </w:r>
      <w:r w:rsidR="00B83EBC">
        <w:t xml:space="preserve"> </w:t>
      </w:r>
      <w:r>
        <w:t>Another 100 reports generated independently are published to the portal for viewing.</w:t>
      </w:r>
    </w:p>
    <w:p w14:paraId="44DE9467" w14:textId="619A73AB" w:rsidR="00F81621" w:rsidRPr="00C4784D" w:rsidRDefault="00F81621" w:rsidP="006C07C3">
      <w:r w:rsidRPr="00C03545">
        <w:t xml:space="preserve">The online system </w:t>
      </w:r>
      <w:r w:rsidRPr="007C15B5">
        <w:rPr>
          <w:snapToGrid w:val="0"/>
        </w:rPr>
        <w:t xml:space="preserve">is an integrated client/server </w:t>
      </w:r>
      <w:r>
        <w:rPr>
          <w:snapToGrid w:val="0"/>
        </w:rPr>
        <w:t xml:space="preserve">architecture </w:t>
      </w:r>
      <w:r w:rsidRPr="007C15B5">
        <w:rPr>
          <w:snapToGrid w:val="0"/>
        </w:rPr>
        <w:t>software system.</w:t>
      </w:r>
      <w:r w:rsidR="00B83EBC">
        <w:rPr>
          <w:snapToGrid w:val="0"/>
        </w:rPr>
        <w:t xml:space="preserve"> </w:t>
      </w:r>
      <w:r w:rsidRPr="007C15B5">
        <w:rPr>
          <w:snapToGrid w:val="0"/>
        </w:rPr>
        <w:t xml:space="preserve">The client software executes on </w:t>
      </w:r>
      <w:r>
        <w:rPr>
          <w:snapToGrid w:val="0"/>
        </w:rPr>
        <w:t>Windows 7/10</w:t>
      </w:r>
      <w:r w:rsidRPr="007C15B5">
        <w:rPr>
          <w:snapToGrid w:val="0"/>
        </w:rPr>
        <w:t xml:space="preserve"> and resides on Windows </w:t>
      </w:r>
      <w:r>
        <w:rPr>
          <w:snapToGrid w:val="0"/>
        </w:rPr>
        <w:t>2008/2012</w:t>
      </w:r>
      <w:r w:rsidRPr="007C15B5">
        <w:rPr>
          <w:snapToGrid w:val="0"/>
        </w:rPr>
        <w:t xml:space="preserve"> servers located throughout the State.</w:t>
      </w:r>
      <w:r w:rsidR="00B83EBC">
        <w:rPr>
          <w:snapToGrid w:val="0"/>
        </w:rPr>
        <w:t xml:space="preserve"> </w:t>
      </w:r>
      <w:r>
        <w:rPr>
          <w:snapToGrid w:val="0"/>
        </w:rPr>
        <w:t>Broadcom CA</w:t>
      </w:r>
      <w:r w:rsidRPr="007C15B5">
        <w:rPr>
          <w:snapToGrid w:val="0"/>
        </w:rPr>
        <w:t xml:space="preserve"> Gen </w:t>
      </w:r>
      <w:r>
        <w:rPr>
          <w:snapToGrid w:val="0"/>
        </w:rPr>
        <w:t xml:space="preserve">(originally the Texas Instrument Information Engineering Facility Computer Aided Software Engineering Tool – TI IEF Case tool) </w:t>
      </w:r>
      <w:r w:rsidRPr="007C15B5">
        <w:rPr>
          <w:snapToGrid w:val="0"/>
        </w:rPr>
        <w:t xml:space="preserve">and </w:t>
      </w:r>
      <w:r>
        <w:rPr>
          <w:snapToGrid w:val="0"/>
        </w:rPr>
        <w:t xml:space="preserve">CA </w:t>
      </w:r>
      <w:r w:rsidRPr="007C15B5">
        <w:rPr>
          <w:snapToGrid w:val="0"/>
        </w:rPr>
        <w:t xml:space="preserve">AION </w:t>
      </w:r>
      <w:r>
        <w:rPr>
          <w:snapToGrid w:val="0"/>
        </w:rPr>
        <w:t xml:space="preserve">(Legacy Business Rules Engine and Expert System – AION to AICorp/Trinzic to Platinum to CA) </w:t>
      </w:r>
      <w:r w:rsidRPr="007C15B5">
        <w:rPr>
          <w:snapToGrid w:val="0"/>
        </w:rPr>
        <w:t xml:space="preserve">toolsets are used to generate </w:t>
      </w:r>
      <w:r>
        <w:rPr>
          <w:snapToGrid w:val="0"/>
        </w:rPr>
        <w:t xml:space="preserve">COBOL </w:t>
      </w:r>
      <w:r w:rsidRPr="007C15B5">
        <w:rPr>
          <w:snapToGrid w:val="0"/>
        </w:rPr>
        <w:t>and C code, along with</w:t>
      </w:r>
      <w:r>
        <w:rPr>
          <w:snapToGrid w:val="0"/>
        </w:rPr>
        <w:t xml:space="preserve"> custom </w:t>
      </w:r>
      <w:r w:rsidRPr="007C15B5">
        <w:rPr>
          <w:snapToGrid w:val="0"/>
        </w:rPr>
        <w:t>in-house architecture code written in C.</w:t>
      </w:r>
      <w:r w:rsidR="00B83EBC">
        <w:rPr>
          <w:snapToGrid w:val="0"/>
        </w:rPr>
        <w:t xml:space="preserve"> </w:t>
      </w:r>
      <w:r w:rsidRPr="007C15B5">
        <w:rPr>
          <w:snapToGrid w:val="0"/>
        </w:rPr>
        <w:t>The server components are Z/OS CICS transactions.</w:t>
      </w:r>
      <w:r w:rsidR="00B83EBC">
        <w:rPr>
          <w:snapToGrid w:val="0"/>
        </w:rPr>
        <w:t xml:space="preserve"> </w:t>
      </w:r>
      <w:r w:rsidRPr="007C15B5">
        <w:rPr>
          <w:snapToGrid w:val="0"/>
        </w:rPr>
        <w:t xml:space="preserve">The CICS programs are Gen-generated COBOL, along with in-house written COBOL </w:t>
      </w:r>
      <w:r>
        <w:rPr>
          <w:snapToGrid w:val="0"/>
        </w:rPr>
        <w:t xml:space="preserve">and Assembler </w:t>
      </w:r>
      <w:r w:rsidRPr="007C15B5">
        <w:rPr>
          <w:snapToGrid w:val="0"/>
        </w:rPr>
        <w:t>externals.</w:t>
      </w:r>
      <w:r w:rsidR="00B83EBC">
        <w:rPr>
          <w:snapToGrid w:val="0"/>
        </w:rPr>
        <w:t xml:space="preserve"> </w:t>
      </w:r>
      <w:r w:rsidRPr="007C15B5">
        <w:rPr>
          <w:snapToGrid w:val="0"/>
        </w:rPr>
        <w:t xml:space="preserve">The CICS programs access </w:t>
      </w:r>
      <w:r w:rsidR="00324327">
        <w:rPr>
          <w:snapToGrid w:val="0"/>
        </w:rPr>
        <w:t>Db2</w:t>
      </w:r>
      <w:r w:rsidRPr="007C15B5">
        <w:rPr>
          <w:snapToGrid w:val="0"/>
        </w:rPr>
        <w:t xml:space="preserve"> on the Z/OS mainframe.</w:t>
      </w:r>
      <w:r w:rsidR="00B83EBC">
        <w:rPr>
          <w:snapToGrid w:val="0"/>
        </w:rPr>
        <w:t xml:space="preserve"> </w:t>
      </w:r>
      <w:r w:rsidRPr="007C15B5">
        <w:rPr>
          <w:snapToGrid w:val="0"/>
        </w:rPr>
        <w:t>The Gen clients use External Call Interface (ECI), IBM’s CICS Universal Client to connect to the Z/OS CICS using TCP/IP protocol.</w:t>
      </w:r>
      <w:r w:rsidR="00B83EBC">
        <w:rPr>
          <w:snapToGrid w:val="0"/>
        </w:rPr>
        <w:t xml:space="preserve"> </w:t>
      </w:r>
      <w:r w:rsidRPr="007C15B5">
        <w:t xml:space="preserve">The </w:t>
      </w:r>
      <w:r>
        <w:t xml:space="preserve">Gen </w:t>
      </w:r>
      <w:r w:rsidRPr="007C15B5">
        <w:t xml:space="preserve">online system consists of </w:t>
      </w:r>
      <w:r>
        <w:t xml:space="preserve">over 660 client procedures, 650 server procedures, 630 windows, and 1540 </w:t>
      </w:r>
      <w:r w:rsidR="00324327">
        <w:t>dialog</w:t>
      </w:r>
      <w:r>
        <w:t xml:space="preserve"> boxes.</w:t>
      </w:r>
      <w:r w:rsidR="00B83EBC">
        <w:t xml:space="preserve"> </w:t>
      </w:r>
      <w:r>
        <w:t>The AION online system supports the complex eligibility data gathering and automated determination and noticing processes.</w:t>
      </w:r>
    </w:p>
    <w:p w14:paraId="77E35E09" w14:textId="4D02B531" w:rsidR="00F81621" w:rsidRPr="00E54316" w:rsidRDefault="00F81621" w:rsidP="006C07C3">
      <w:r w:rsidRPr="00E54316">
        <w:t>N-FOCUS web applications consist of public applications, including dashboard applications, and applications launched directly from N-FOCUS.</w:t>
      </w:r>
      <w:r w:rsidR="00B83EBC">
        <w:t xml:space="preserve"> </w:t>
      </w:r>
      <w:r w:rsidRPr="00E54316">
        <w:t xml:space="preserve">Eclipse is the </w:t>
      </w:r>
      <w:r w:rsidR="009938AB">
        <w:t>integrated development environment (</w:t>
      </w:r>
      <w:r w:rsidRPr="00E54316">
        <w:t>IDE</w:t>
      </w:r>
      <w:r w:rsidR="009938AB">
        <w:t>)</w:t>
      </w:r>
      <w:r w:rsidRPr="00E54316">
        <w:t xml:space="preserve"> used to generate the Java Server Faces and Facelets code.</w:t>
      </w:r>
      <w:r w:rsidR="00B83EBC">
        <w:t xml:space="preserve"> </w:t>
      </w:r>
      <w:r w:rsidRPr="00E54316">
        <w:t>These Java applications run on Tomcat application servers on the Linux Operating System.</w:t>
      </w:r>
      <w:r w:rsidR="00B83EBC">
        <w:t xml:space="preserve"> </w:t>
      </w:r>
      <w:r w:rsidRPr="00E54316">
        <w:t xml:space="preserve">The Java applications call stored procedures to access </w:t>
      </w:r>
      <w:r w:rsidR="00324327">
        <w:t>Db2</w:t>
      </w:r>
      <w:r w:rsidRPr="00E54316">
        <w:t xml:space="preserve"> data and SQL to access SQL server data.</w:t>
      </w:r>
    </w:p>
    <w:p w14:paraId="2F25C5E9" w14:textId="1F4BD8DA" w:rsidR="00F81621" w:rsidRDefault="00F81621" w:rsidP="006C07C3">
      <w:r w:rsidRPr="00E54316">
        <w:t>The primary role of the N-FOCUS team today is to maintain and enhance the N</w:t>
      </w:r>
      <w:r w:rsidRPr="00E54316">
        <w:noBreakHyphen/>
        <w:t>FOCUS application.</w:t>
      </w:r>
      <w:r w:rsidR="00B83EBC">
        <w:t xml:space="preserve"> </w:t>
      </w:r>
      <w:r w:rsidRPr="00E54316">
        <w:t xml:space="preserve">This includes providing </w:t>
      </w:r>
      <w:r w:rsidRPr="007C15B5">
        <w:t>users with technical and business support to keep the system current with government policy and industry technology, both of which continue to change at a rapid pace.</w:t>
      </w:r>
      <w:r w:rsidR="00B83EBC">
        <w:t xml:space="preserve"> </w:t>
      </w:r>
      <w:r w:rsidRPr="007C15B5">
        <w:t>The N</w:t>
      </w:r>
      <w:r w:rsidRPr="007C15B5">
        <w:noBreakHyphen/>
        <w:t xml:space="preserve">FOCUS team works in the </w:t>
      </w:r>
      <w:r w:rsidRPr="00B96A6E">
        <w:t xml:space="preserve">Golds Building </w:t>
      </w:r>
      <w:r w:rsidRPr="007C15B5">
        <w:t>in Lincoln.</w:t>
      </w:r>
      <w:r w:rsidR="00B83EBC">
        <w:t xml:space="preserve"> </w:t>
      </w:r>
      <w:r w:rsidRPr="007C15B5">
        <w:t xml:space="preserve">Business and technical contract and full-time State team members are organized into teams that are involved in application development (Gen, AION, COBOL, Web, </w:t>
      </w:r>
      <w:r w:rsidR="00291D0D">
        <w:t>Batch</w:t>
      </w:r>
      <w:r w:rsidRPr="007C15B5">
        <w:t>), technical architecture (workstation communications, mainframe communications, print architecture, reporting architecture administration</w:t>
      </w:r>
      <w:r>
        <w:t>, document imaging administration</w:t>
      </w:r>
      <w:r w:rsidRPr="007C15B5">
        <w:t>), database administration, configuration management, project management, business requirements and testing, application and production support, and training.</w:t>
      </w:r>
      <w:r w:rsidR="00B83EBC">
        <w:t xml:space="preserve"> </w:t>
      </w:r>
      <w:r w:rsidRPr="007C15B5">
        <w:t xml:space="preserve">Approximately </w:t>
      </w:r>
      <w:r>
        <w:t xml:space="preserve">35 </w:t>
      </w:r>
      <w:r w:rsidRPr="007C15B5">
        <w:t>technical and 30 business team members are assigned to the N-FOCUS team.</w:t>
      </w:r>
    </w:p>
    <w:p w14:paraId="1A4741B8" w14:textId="74E146F8" w:rsidR="00F81621" w:rsidRPr="00EB3FFE" w:rsidRDefault="00F81621" w:rsidP="00EB3FFE">
      <w:r w:rsidRPr="00C03545">
        <w:t>N-FOCUS is one of the largest integrated systems in the government of the State of Nebraska.</w:t>
      </w:r>
      <w:r w:rsidR="00B83EBC">
        <w:t xml:space="preserve"> </w:t>
      </w:r>
      <w:r w:rsidRPr="00C03545">
        <w:t>Other significant systems within DHHS include Vital Statistics (management of birth, death, m</w:t>
      </w:r>
      <w:r w:rsidRPr="00FA5D97">
        <w:t>arriage, and other vital records for Nebraskans), CHARTS (management of child support enforcement operations), and MMIS (management of Medicaid-related provider/consumer claims and payments).</w:t>
      </w:r>
      <w:r w:rsidR="00B83EBC">
        <w:t xml:space="preserve"> </w:t>
      </w:r>
      <w:r w:rsidRPr="00FA5D97">
        <w:t>While not an exhaustive list,</w:t>
      </w:r>
      <w:r w:rsidR="009938AB">
        <w:t xml:space="preserve"> </w:t>
      </w:r>
      <w:r w:rsidR="009938AB">
        <w:fldChar w:fldCharType="begin"/>
      </w:r>
      <w:r w:rsidR="009938AB">
        <w:instrText xml:space="preserve"> REF _Ref51584961 \r \h </w:instrText>
      </w:r>
      <w:r w:rsidR="009938AB">
        <w:fldChar w:fldCharType="separate"/>
      </w:r>
      <w:r w:rsidR="006F2234">
        <w:t>Figure 2</w:t>
      </w:r>
      <w:r w:rsidR="009938AB">
        <w:fldChar w:fldCharType="end"/>
      </w:r>
      <w:r w:rsidR="006F2234">
        <w:t xml:space="preserve"> </w:t>
      </w:r>
      <w:r w:rsidRPr="007F4DDF">
        <w:t>(below) shows approximately 40 of the most significant interfaces between N-FOCUS and private, state, local, and federal partners. It should be noted that a large proportion of these interfaces are shared among multiple HHS program areas.</w:t>
      </w:r>
    </w:p>
    <w:p w14:paraId="3AB0EEB6" w14:textId="4DAC8824" w:rsidR="00F81621" w:rsidRPr="00EB3FFE" w:rsidRDefault="00F81621" w:rsidP="009938AB">
      <w:pPr>
        <w:pStyle w:val="FigureNumberedList"/>
      </w:pPr>
      <w:bookmarkStart w:id="2" w:name="_Ref51584961"/>
      <w:r w:rsidRPr="009938AB">
        <w:t>N-FOCUS System Context Diagram and Key Interfaces</w:t>
      </w:r>
      <w:bookmarkEnd w:id="2"/>
    </w:p>
    <w:p w14:paraId="308771A4" w14:textId="5DA15A03" w:rsidR="00F81621" w:rsidRDefault="00F81621" w:rsidP="006C07C3">
      <w:r>
        <w:object w:dxaOrig="14365" w:dyaOrig="11515" w14:anchorId="14655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1.05pt;height:367.6pt" o:ole="" o:bordertopcolor="this" o:borderleftcolor="this" o:borderbottomcolor="this" o:borderrightcolor="this">
            <v:imagedata r:id="rId12" o:title=""/>
            <w10:bordertop type="single" width="4"/>
            <w10:borderleft type="single" width="4"/>
            <w10:borderbottom type="single" width="4"/>
            <w10:borderright type="single" width="4"/>
          </v:shape>
          <o:OLEObject Type="Embed" ProgID="Visio.Drawing.11" ShapeID="_x0000_i1025" DrawAspect="Content" ObjectID="_1666766167" r:id="rId13"/>
        </w:object>
      </w:r>
    </w:p>
    <w:p w14:paraId="571F5B05" w14:textId="77777777" w:rsidR="00F81621" w:rsidRPr="00DC1D02" w:rsidRDefault="00F81621" w:rsidP="00AE02B8">
      <w:pPr>
        <w:pStyle w:val="Heading3"/>
      </w:pPr>
      <w:bookmarkStart w:id="3" w:name="_Toc51661992"/>
      <w:r w:rsidRPr="00DC1D02">
        <w:t xml:space="preserve">Current Application </w:t>
      </w:r>
      <w:r w:rsidRPr="0057273A">
        <w:t>Architecture</w:t>
      </w:r>
      <w:r w:rsidRPr="00DC1D02">
        <w:t xml:space="preserve"> Components</w:t>
      </w:r>
      <w:bookmarkEnd w:id="3"/>
    </w:p>
    <w:p w14:paraId="68F3C2BA" w14:textId="6D60E8E1" w:rsidR="00F81621" w:rsidRPr="006C07C3" w:rsidRDefault="00F81621" w:rsidP="00AE02B8">
      <w:pPr>
        <w:pStyle w:val="Heading4"/>
        <w:rPr>
          <w:rFonts w:eastAsiaTheme="minorHAnsi"/>
        </w:rPr>
      </w:pPr>
      <w:r w:rsidRPr="00081492">
        <w:rPr>
          <w:rFonts w:eastAsiaTheme="minorHAnsi"/>
        </w:rPr>
        <w:t>Workstation Overview</w:t>
      </w:r>
    </w:p>
    <w:p w14:paraId="6A8259B2" w14:textId="77777777" w:rsidR="00F81621" w:rsidRDefault="00F81621" w:rsidP="006C07C3">
      <w:pPr>
        <w:rPr>
          <w:rFonts w:eastAsiaTheme="minorHAnsi"/>
        </w:rPr>
      </w:pPr>
      <w:r w:rsidRPr="00081492">
        <w:rPr>
          <w:rFonts w:eastAsiaTheme="minorHAnsi"/>
        </w:rPr>
        <w:t>The N-FOCUS</w:t>
      </w:r>
      <w:r>
        <w:rPr>
          <w:rFonts w:eastAsiaTheme="minorHAnsi"/>
        </w:rPr>
        <w:t xml:space="preserve"> client</w:t>
      </w:r>
      <w:r w:rsidRPr="00081492">
        <w:rPr>
          <w:rFonts w:eastAsiaTheme="minorHAnsi"/>
        </w:rPr>
        <w:t xml:space="preserve"> currently runs on workstations using the Windows </w:t>
      </w:r>
      <w:r>
        <w:rPr>
          <w:rFonts w:eastAsiaTheme="minorHAnsi"/>
        </w:rPr>
        <w:t>10</w:t>
      </w:r>
      <w:r w:rsidRPr="00081492">
        <w:rPr>
          <w:rFonts w:eastAsiaTheme="minorHAnsi"/>
        </w:rPr>
        <w:t xml:space="preserve"> operating systems. N-</w:t>
      </w:r>
      <w:r w:rsidRPr="006C07C3">
        <w:rPr>
          <w:rFonts w:eastAsiaTheme="minorHAnsi"/>
        </w:rPr>
        <w:t>FOCUS</w:t>
      </w:r>
      <w:r w:rsidRPr="00081492">
        <w:rPr>
          <w:rFonts w:eastAsiaTheme="minorHAnsi"/>
        </w:rPr>
        <w:t xml:space="preserve"> workstation client software architecture consists of several application layers. These layers include: </w:t>
      </w:r>
    </w:p>
    <w:p w14:paraId="25B7F2BC" w14:textId="0D060C51" w:rsidR="00F81621" w:rsidRPr="00065200" w:rsidRDefault="00F81621" w:rsidP="006C07C3">
      <w:pPr>
        <w:pStyle w:val="bullet1"/>
        <w:rPr>
          <w:rFonts w:eastAsiaTheme="minorHAnsi"/>
        </w:rPr>
      </w:pPr>
      <w:r w:rsidRPr="00065200">
        <w:rPr>
          <w:rFonts w:eastAsiaTheme="minorHAnsi"/>
          <w:b/>
          <w:bCs/>
        </w:rPr>
        <w:t xml:space="preserve">Presentation </w:t>
      </w:r>
      <w:r w:rsidR="009938AB">
        <w:rPr>
          <w:rFonts w:eastAsiaTheme="minorHAnsi"/>
          <w:b/>
          <w:bCs/>
        </w:rPr>
        <w:t>s</w:t>
      </w:r>
      <w:r w:rsidRPr="00065200">
        <w:rPr>
          <w:rFonts w:eastAsiaTheme="minorHAnsi"/>
          <w:b/>
          <w:bCs/>
        </w:rPr>
        <w:t xml:space="preserve">ervices </w:t>
      </w:r>
      <w:r w:rsidRPr="00065200">
        <w:rPr>
          <w:rFonts w:eastAsiaTheme="minorHAnsi"/>
        </w:rPr>
        <w:t>– The presentation services component is the</w:t>
      </w:r>
      <w:r>
        <w:rPr>
          <w:rFonts w:eastAsiaTheme="minorHAnsi"/>
        </w:rPr>
        <w:t xml:space="preserve"> Graphical User Interface</w:t>
      </w:r>
      <w:r w:rsidRPr="00065200">
        <w:rPr>
          <w:rFonts w:eastAsiaTheme="minorHAnsi"/>
        </w:rPr>
        <w:t xml:space="preserve"> </w:t>
      </w:r>
      <w:r>
        <w:rPr>
          <w:rFonts w:eastAsiaTheme="minorHAnsi"/>
        </w:rPr>
        <w:t>(</w:t>
      </w:r>
      <w:r w:rsidRPr="00065200">
        <w:rPr>
          <w:rFonts w:eastAsiaTheme="minorHAnsi"/>
        </w:rPr>
        <w:t>GUI</w:t>
      </w:r>
      <w:r>
        <w:rPr>
          <w:rFonts w:eastAsiaTheme="minorHAnsi"/>
        </w:rPr>
        <w:t>)</w:t>
      </w:r>
      <w:r w:rsidRPr="00065200">
        <w:rPr>
          <w:rFonts w:eastAsiaTheme="minorHAnsi"/>
        </w:rPr>
        <w:t xml:space="preserve"> provided to the user. The presentation service is provided via a Windows workstation. </w:t>
      </w:r>
    </w:p>
    <w:p w14:paraId="1CE7CD72" w14:textId="3E9AA874" w:rsidR="00F81621" w:rsidRPr="00065200" w:rsidRDefault="00F81621" w:rsidP="006C07C3">
      <w:pPr>
        <w:pStyle w:val="bullet1"/>
        <w:rPr>
          <w:rFonts w:eastAsiaTheme="minorHAnsi"/>
        </w:rPr>
      </w:pPr>
      <w:r w:rsidRPr="00EB3FFE">
        <w:rPr>
          <w:rFonts w:eastAsiaTheme="minorHAnsi"/>
          <w:b/>
          <w:bCs/>
        </w:rPr>
        <w:t xml:space="preserve">Business </w:t>
      </w:r>
      <w:r w:rsidR="009938AB">
        <w:rPr>
          <w:rFonts w:eastAsiaTheme="minorHAnsi"/>
          <w:b/>
          <w:bCs/>
        </w:rPr>
        <w:t>r</w:t>
      </w:r>
      <w:r w:rsidRPr="00EB3FFE">
        <w:rPr>
          <w:rFonts w:eastAsiaTheme="minorHAnsi"/>
          <w:b/>
          <w:bCs/>
        </w:rPr>
        <w:t xml:space="preserve">ule </w:t>
      </w:r>
      <w:r w:rsidR="009938AB">
        <w:rPr>
          <w:rFonts w:eastAsiaTheme="minorHAnsi"/>
          <w:b/>
          <w:bCs/>
        </w:rPr>
        <w:t>s</w:t>
      </w:r>
      <w:r w:rsidRPr="00EB3FFE">
        <w:rPr>
          <w:rFonts w:eastAsiaTheme="minorHAnsi"/>
          <w:b/>
          <w:bCs/>
        </w:rPr>
        <w:t xml:space="preserve">ervices </w:t>
      </w:r>
      <w:r w:rsidRPr="00EB3FFE">
        <w:rPr>
          <w:rFonts w:eastAsiaTheme="minorHAnsi"/>
        </w:rPr>
        <w:t>– These services provide the application business logic unique to each functional area. At the workstation, both early verification (using the GUI business rules) and</w:t>
      </w:r>
      <w:r w:rsidRPr="00065200">
        <w:rPr>
          <w:rFonts w:eastAsiaTheme="minorHAnsi"/>
        </w:rPr>
        <w:t xml:space="preserve"> late verification use application rules to provide accurate information. </w:t>
      </w:r>
    </w:p>
    <w:p w14:paraId="03C15C45" w14:textId="5CC0424F" w:rsidR="00F81621" w:rsidRPr="00065200" w:rsidRDefault="00F81621" w:rsidP="006C07C3">
      <w:pPr>
        <w:pStyle w:val="bullet1"/>
        <w:rPr>
          <w:rFonts w:eastAsiaTheme="minorHAnsi"/>
        </w:rPr>
      </w:pPr>
      <w:r w:rsidRPr="00065200">
        <w:rPr>
          <w:rFonts w:eastAsiaTheme="minorHAnsi"/>
          <w:b/>
          <w:bCs/>
        </w:rPr>
        <w:t xml:space="preserve">Security </w:t>
      </w:r>
      <w:r w:rsidR="009938AB">
        <w:rPr>
          <w:rFonts w:eastAsiaTheme="minorHAnsi"/>
          <w:b/>
          <w:bCs/>
        </w:rPr>
        <w:t>s</w:t>
      </w:r>
      <w:r w:rsidRPr="00065200">
        <w:rPr>
          <w:rFonts w:eastAsiaTheme="minorHAnsi"/>
          <w:b/>
          <w:bCs/>
        </w:rPr>
        <w:t xml:space="preserve">ervices </w:t>
      </w:r>
      <w:r w:rsidRPr="00065200">
        <w:rPr>
          <w:rFonts w:eastAsiaTheme="minorHAnsi"/>
        </w:rPr>
        <w:t xml:space="preserve">– All traffic between N-FOCUS workstations and host applications are </w:t>
      </w:r>
      <w:r w:rsidR="00EA43F2">
        <w:rPr>
          <w:rFonts w:eastAsiaTheme="minorHAnsi"/>
        </w:rPr>
        <w:t xml:space="preserve">not yet </w:t>
      </w:r>
      <w:r>
        <w:rPr>
          <w:rFonts w:eastAsiaTheme="minorHAnsi"/>
        </w:rPr>
        <w:t>encrypted</w:t>
      </w:r>
      <w:r w:rsidRPr="00065200">
        <w:rPr>
          <w:rFonts w:eastAsiaTheme="minorHAnsi"/>
        </w:rPr>
        <w:t xml:space="preserve"> prior to transmission over the network and to the host. </w:t>
      </w:r>
    </w:p>
    <w:p w14:paraId="2BFD6BFB" w14:textId="37C47281" w:rsidR="00F81621" w:rsidRPr="00065200" w:rsidRDefault="00F81621" w:rsidP="006C07C3">
      <w:pPr>
        <w:pStyle w:val="bullet1"/>
        <w:rPr>
          <w:rFonts w:eastAsiaTheme="minorHAnsi"/>
        </w:rPr>
      </w:pPr>
      <w:r w:rsidRPr="00065200">
        <w:rPr>
          <w:rFonts w:eastAsiaTheme="minorHAnsi"/>
          <w:b/>
          <w:bCs/>
        </w:rPr>
        <w:t xml:space="preserve">Transaction </w:t>
      </w:r>
      <w:r w:rsidR="009938AB">
        <w:rPr>
          <w:rFonts w:eastAsiaTheme="minorHAnsi"/>
          <w:b/>
          <w:bCs/>
        </w:rPr>
        <w:t>s</w:t>
      </w:r>
      <w:r w:rsidRPr="00065200">
        <w:rPr>
          <w:rFonts w:eastAsiaTheme="minorHAnsi"/>
          <w:b/>
          <w:bCs/>
        </w:rPr>
        <w:t xml:space="preserve">ervices </w:t>
      </w:r>
      <w:r w:rsidRPr="00EB3FFE">
        <w:rPr>
          <w:rFonts w:eastAsiaTheme="minorHAnsi"/>
        </w:rPr>
        <w:t>– Data</w:t>
      </w:r>
      <w:r w:rsidRPr="00065200">
        <w:rPr>
          <w:rFonts w:eastAsiaTheme="minorHAnsi"/>
        </w:rPr>
        <w:t xml:space="preserve"> traveling between the workstation and the host is organized into packets or transactions. The transaction services component creates data transactions and transports the information to and from the host. The infrastructure supporting this is based on IBM’s n-tier Customer Information Control System architecture. CICS components in the user workstation c</w:t>
      </w:r>
      <w:r>
        <w:rPr>
          <w:rFonts w:eastAsiaTheme="minorHAnsi"/>
        </w:rPr>
        <w:t xml:space="preserve">ommunicate to the </w:t>
      </w:r>
      <w:r w:rsidR="00324327">
        <w:rPr>
          <w:rFonts w:eastAsiaTheme="minorHAnsi"/>
        </w:rPr>
        <w:t>back-end</w:t>
      </w:r>
      <w:r w:rsidRPr="00065200">
        <w:rPr>
          <w:rFonts w:eastAsiaTheme="minorHAnsi"/>
        </w:rPr>
        <w:t xml:space="preserve"> CICS component on the mainframe. </w:t>
      </w:r>
    </w:p>
    <w:p w14:paraId="6C47EC6D" w14:textId="2A36C680" w:rsidR="00F81621" w:rsidRPr="00081492" w:rsidRDefault="00F81621" w:rsidP="00AE02B8">
      <w:pPr>
        <w:pStyle w:val="Heading4"/>
        <w:rPr>
          <w:rFonts w:eastAsiaTheme="minorHAnsi"/>
        </w:rPr>
      </w:pPr>
      <w:r w:rsidRPr="00081492">
        <w:rPr>
          <w:rFonts w:eastAsiaTheme="minorHAnsi"/>
        </w:rPr>
        <w:t xml:space="preserve">Server </w:t>
      </w:r>
      <w:r w:rsidRPr="006C07C3">
        <w:rPr>
          <w:rFonts w:eastAsiaTheme="minorHAnsi"/>
        </w:rPr>
        <w:t>Overview</w:t>
      </w:r>
    </w:p>
    <w:p w14:paraId="1E45F7BA" w14:textId="35E0029C" w:rsidR="00F81621" w:rsidRPr="00EB3FFE" w:rsidRDefault="00F81621" w:rsidP="00EB3FFE">
      <w:pPr>
        <w:pStyle w:val="bullet1"/>
        <w:rPr>
          <w:rFonts w:eastAsiaTheme="minorHAnsi"/>
        </w:rPr>
      </w:pPr>
      <w:r w:rsidRPr="0023624A">
        <w:rPr>
          <w:rFonts w:eastAsiaTheme="minorHAnsi"/>
          <w:b/>
        </w:rPr>
        <w:t xml:space="preserve">Local </w:t>
      </w:r>
      <w:r w:rsidR="009938AB">
        <w:rPr>
          <w:rFonts w:eastAsiaTheme="minorHAnsi"/>
          <w:b/>
        </w:rPr>
        <w:t>f</w:t>
      </w:r>
      <w:r w:rsidRPr="0023624A">
        <w:rPr>
          <w:rFonts w:eastAsiaTheme="minorHAnsi"/>
          <w:b/>
        </w:rPr>
        <w:t xml:space="preserve">ile </w:t>
      </w:r>
      <w:r w:rsidR="009938AB">
        <w:rPr>
          <w:rFonts w:eastAsiaTheme="minorHAnsi"/>
          <w:b/>
        </w:rPr>
        <w:t>s</w:t>
      </w:r>
      <w:r w:rsidRPr="0023624A">
        <w:rPr>
          <w:rFonts w:eastAsiaTheme="minorHAnsi"/>
          <w:b/>
        </w:rPr>
        <w:t>ervers</w:t>
      </w:r>
      <w:r w:rsidRPr="00065200">
        <w:rPr>
          <w:rFonts w:eastAsiaTheme="minorHAnsi"/>
        </w:rPr>
        <w:t xml:space="preserve"> - The</w:t>
      </w:r>
      <w:r w:rsidRPr="00EB3FFE">
        <w:rPr>
          <w:rFonts w:eastAsiaTheme="minorHAnsi"/>
        </w:rPr>
        <w:t xml:space="preserve"> local file server is used as a staging area for software distribution to reduce bandwidth congestion. Rather than distributing new code releases to all workstations over the </w:t>
      </w:r>
      <w:r w:rsidR="00324327">
        <w:rPr>
          <w:rFonts w:eastAsiaTheme="minorHAnsi"/>
        </w:rPr>
        <w:t>wide-area network</w:t>
      </w:r>
      <w:r w:rsidRPr="00EB3FFE">
        <w:rPr>
          <w:rFonts w:eastAsiaTheme="minorHAnsi"/>
        </w:rPr>
        <w:t xml:space="preserve"> (WAN), software is first distributed to the application servers over the WAN that in turn are responsible for distributing software to local workstations over </w:t>
      </w:r>
      <w:r w:rsidR="00324327">
        <w:rPr>
          <w:rFonts w:eastAsiaTheme="minorHAnsi"/>
        </w:rPr>
        <w:t>local-area network</w:t>
      </w:r>
      <w:r w:rsidRPr="00EB3FFE">
        <w:rPr>
          <w:rFonts w:eastAsiaTheme="minorHAnsi"/>
        </w:rPr>
        <w:t xml:space="preserve">s (LAN). </w:t>
      </w:r>
    </w:p>
    <w:p w14:paraId="7D3D6439" w14:textId="43CE844F" w:rsidR="00F81621" w:rsidRPr="00EB3FFE" w:rsidRDefault="00F81621" w:rsidP="00EB3FFE">
      <w:pPr>
        <w:pStyle w:val="bullet1"/>
        <w:rPr>
          <w:rFonts w:eastAsiaTheme="minorHAnsi"/>
        </w:rPr>
      </w:pPr>
      <w:r w:rsidRPr="00EB3FFE">
        <w:rPr>
          <w:rFonts w:eastAsiaTheme="minorHAnsi"/>
          <w:b/>
          <w:bCs/>
        </w:rPr>
        <w:t xml:space="preserve">Web </w:t>
      </w:r>
      <w:r w:rsidR="009938AB">
        <w:rPr>
          <w:rFonts w:eastAsiaTheme="minorHAnsi"/>
          <w:b/>
          <w:bCs/>
        </w:rPr>
        <w:t>a</w:t>
      </w:r>
      <w:r w:rsidRPr="00EB3FFE">
        <w:rPr>
          <w:rFonts w:eastAsiaTheme="minorHAnsi"/>
          <w:b/>
          <w:bCs/>
        </w:rPr>
        <w:t>ccess Servers</w:t>
      </w:r>
      <w:r w:rsidRPr="00EB3FFE">
        <w:rPr>
          <w:rFonts w:eastAsiaTheme="minorHAnsi"/>
        </w:rPr>
        <w:t xml:space="preserve"> - There is also a server supported infrastructure to support Web access. Various Web access solutions are available including ACCESSNebraska, SVES, N-FOCUS Inquiry, </w:t>
      </w:r>
      <w:r w:rsidR="009938AB" w:rsidRPr="009938AB">
        <w:rPr>
          <w:rFonts w:eastAsiaTheme="minorHAnsi"/>
        </w:rPr>
        <w:t>Adult Protective Services / Child Protective Services (APS/CPS)</w:t>
      </w:r>
      <w:r w:rsidRPr="00EB3FFE">
        <w:rPr>
          <w:rFonts w:eastAsiaTheme="minorHAnsi"/>
        </w:rPr>
        <w:t xml:space="preserve"> central registry, Vital Statistics, and Central Print Architecture. These Web access environments include a </w:t>
      </w:r>
      <w:r w:rsidR="00F61D9A">
        <w:rPr>
          <w:rFonts w:eastAsiaTheme="minorHAnsi"/>
        </w:rPr>
        <w:t xml:space="preserve">Windows and </w:t>
      </w:r>
      <w:r w:rsidRPr="00EB3FFE">
        <w:rPr>
          <w:rFonts w:eastAsiaTheme="minorHAnsi"/>
        </w:rPr>
        <w:t xml:space="preserve">Linux hosted Tomcat web server using Java via the Eclipse environment that gets data from mainframe via stored procedures. </w:t>
      </w:r>
    </w:p>
    <w:p w14:paraId="373ACDC0" w14:textId="6BAE5350" w:rsidR="00F81621" w:rsidRPr="00EB3FFE" w:rsidRDefault="00F81621" w:rsidP="00EB3FFE">
      <w:pPr>
        <w:pStyle w:val="bullet1"/>
        <w:rPr>
          <w:rFonts w:eastAsiaTheme="minorHAnsi"/>
        </w:rPr>
      </w:pPr>
      <w:r w:rsidRPr="00EB3FFE">
        <w:rPr>
          <w:rFonts w:eastAsiaTheme="minorHAnsi"/>
          <w:b/>
          <w:bCs/>
        </w:rPr>
        <w:t xml:space="preserve">Imaging </w:t>
      </w:r>
      <w:r w:rsidR="009938AB">
        <w:rPr>
          <w:rFonts w:eastAsiaTheme="minorHAnsi"/>
          <w:b/>
          <w:bCs/>
        </w:rPr>
        <w:t>s</w:t>
      </w:r>
      <w:r w:rsidRPr="00EB3FFE">
        <w:rPr>
          <w:rFonts w:eastAsiaTheme="minorHAnsi"/>
          <w:b/>
          <w:bCs/>
        </w:rPr>
        <w:t>ervers</w:t>
      </w:r>
      <w:r w:rsidRPr="00EB3FFE">
        <w:rPr>
          <w:rFonts w:eastAsiaTheme="minorHAnsi"/>
        </w:rPr>
        <w:t xml:space="preserve"> - There is an imaging environment (Spielberg Solutions GmbH FileDirector Document Management System) for capturing images upon receipt from 2 major imaging centers as well as at many user workstation scanners.</w:t>
      </w:r>
      <w:r w:rsidR="00B83EBC">
        <w:rPr>
          <w:rFonts w:eastAsiaTheme="minorHAnsi"/>
        </w:rPr>
        <w:t xml:space="preserve"> </w:t>
      </w:r>
      <w:r w:rsidRPr="00EB3FFE">
        <w:rPr>
          <w:rFonts w:eastAsiaTheme="minorHAnsi"/>
        </w:rPr>
        <w:t xml:space="preserve">There is also imaging capture occurring via the ACCESSNebraska site for user provided document upload and storage. </w:t>
      </w:r>
    </w:p>
    <w:p w14:paraId="617F9D98" w14:textId="4FB1F225" w:rsidR="00F81621" w:rsidRPr="005576CE" w:rsidRDefault="00F81621" w:rsidP="00EB3FFE">
      <w:pPr>
        <w:pStyle w:val="bullet1"/>
        <w:rPr>
          <w:rFonts w:eastAsiaTheme="minorHAnsi"/>
        </w:rPr>
      </w:pPr>
      <w:r w:rsidRPr="00EB3FFE">
        <w:rPr>
          <w:rFonts w:eastAsiaTheme="minorHAnsi"/>
          <w:b/>
          <w:bCs/>
        </w:rPr>
        <w:t xml:space="preserve">Database </w:t>
      </w:r>
      <w:r w:rsidR="009938AB">
        <w:rPr>
          <w:rFonts w:eastAsiaTheme="minorHAnsi"/>
          <w:b/>
          <w:bCs/>
        </w:rPr>
        <w:t>s</w:t>
      </w:r>
      <w:r w:rsidRPr="00EB3FFE">
        <w:rPr>
          <w:rFonts w:eastAsiaTheme="minorHAnsi"/>
          <w:b/>
          <w:bCs/>
        </w:rPr>
        <w:t>ervers</w:t>
      </w:r>
      <w:r w:rsidRPr="00EB3FFE">
        <w:rPr>
          <w:rFonts w:eastAsiaTheme="minorHAnsi"/>
        </w:rPr>
        <w:t xml:space="preserve"> - The FileDirector imaging system, and the ACCESSNebraska consumer portal environment use Microsoft SQL server</w:t>
      </w:r>
      <w:r w:rsidRPr="00065200">
        <w:rPr>
          <w:rFonts w:eastAsiaTheme="minorHAnsi"/>
        </w:rPr>
        <w:t>.</w:t>
      </w:r>
    </w:p>
    <w:p w14:paraId="77CDB37F" w14:textId="19EC1BE5" w:rsidR="00F81621" w:rsidRPr="006C07C3" w:rsidRDefault="00324327" w:rsidP="00AE02B8">
      <w:pPr>
        <w:pStyle w:val="Heading4"/>
        <w:rPr>
          <w:rFonts w:eastAsiaTheme="minorHAnsi"/>
        </w:rPr>
      </w:pPr>
      <w:r>
        <w:rPr>
          <w:rFonts w:eastAsiaTheme="minorHAnsi"/>
        </w:rPr>
        <w:t>Back-end</w:t>
      </w:r>
      <w:r w:rsidR="00F81621" w:rsidRPr="006C07C3">
        <w:rPr>
          <w:rFonts w:eastAsiaTheme="minorHAnsi"/>
        </w:rPr>
        <w:t xml:space="preserve"> Host Overview</w:t>
      </w:r>
    </w:p>
    <w:p w14:paraId="296C02D4" w14:textId="735705AD" w:rsidR="00F81621" w:rsidRPr="00081492" w:rsidRDefault="00F81621" w:rsidP="005576CE">
      <w:pPr>
        <w:rPr>
          <w:rFonts w:eastAsiaTheme="minorHAnsi"/>
        </w:rPr>
      </w:pPr>
      <w:r w:rsidRPr="00081492">
        <w:rPr>
          <w:rFonts w:eastAsiaTheme="minorHAnsi"/>
        </w:rPr>
        <w:t xml:space="preserve">The core component of N-FOCUS is the </w:t>
      </w:r>
      <w:r w:rsidRPr="005576CE">
        <w:rPr>
          <w:rFonts w:eastAsiaTheme="minorHAnsi"/>
        </w:rPr>
        <w:t>IBM</w:t>
      </w:r>
      <w:r w:rsidRPr="00081492">
        <w:rPr>
          <w:rFonts w:eastAsiaTheme="minorHAnsi"/>
        </w:rPr>
        <w:t xml:space="preserve"> mainframe computer or host. The workstation client interacts with the IBM mainframe host at the </w:t>
      </w:r>
      <w:r w:rsidR="009938AB">
        <w:rPr>
          <w:rFonts w:eastAsiaTheme="minorHAnsi"/>
        </w:rPr>
        <w:t>s</w:t>
      </w:r>
      <w:r w:rsidRPr="00081492">
        <w:rPr>
          <w:rFonts w:eastAsiaTheme="minorHAnsi"/>
        </w:rPr>
        <w:t xml:space="preserve">tate data center. The </w:t>
      </w:r>
      <w:r>
        <w:rPr>
          <w:rFonts w:eastAsiaTheme="minorHAnsi"/>
        </w:rPr>
        <w:t xml:space="preserve">mainframe </w:t>
      </w:r>
      <w:r w:rsidRPr="00081492">
        <w:rPr>
          <w:rFonts w:eastAsiaTheme="minorHAnsi"/>
        </w:rPr>
        <w:t xml:space="preserve">host is the main repository for data, code tables, </w:t>
      </w:r>
      <w:r>
        <w:rPr>
          <w:rFonts w:eastAsiaTheme="minorHAnsi"/>
        </w:rPr>
        <w:t>created notices and correspondence,</w:t>
      </w:r>
      <w:r w:rsidRPr="00081492">
        <w:rPr>
          <w:rFonts w:eastAsiaTheme="minorHAnsi"/>
        </w:rPr>
        <w:t xml:space="preserve"> </w:t>
      </w:r>
      <w:r>
        <w:rPr>
          <w:rFonts w:eastAsiaTheme="minorHAnsi"/>
        </w:rPr>
        <w:t xml:space="preserve">and </w:t>
      </w:r>
      <w:r w:rsidRPr="00081492">
        <w:rPr>
          <w:rFonts w:eastAsiaTheme="minorHAnsi"/>
        </w:rPr>
        <w:t xml:space="preserve">all data related to a case. The primary role of the host is to provide database and transaction services. N-FOCUS is built on an IBM </w:t>
      </w:r>
      <w:r w:rsidR="00324327">
        <w:rPr>
          <w:rFonts w:eastAsiaTheme="minorHAnsi"/>
        </w:rPr>
        <w:t>Db2</w:t>
      </w:r>
      <w:r w:rsidRPr="00081492">
        <w:rPr>
          <w:rFonts w:eastAsiaTheme="minorHAnsi"/>
        </w:rPr>
        <w:t xml:space="preserve"> database. All N-FOCUS data </w:t>
      </w:r>
      <w:r>
        <w:rPr>
          <w:rFonts w:eastAsiaTheme="minorHAnsi"/>
        </w:rPr>
        <w:t>are</w:t>
      </w:r>
      <w:r w:rsidRPr="00081492">
        <w:rPr>
          <w:rFonts w:eastAsiaTheme="minorHAnsi"/>
        </w:rPr>
        <w:t xml:space="preserve"> stored in a series of database tables and accessed through CICS transactions generated from the workstation’s N-FOCUS application. The transactions processed by the CICS transaction monitor </w:t>
      </w:r>
      <w:r>
        <w:rPr>
          <w:rFonts w:eastAsiaTheme="minorHAnsi"/>
        </w:rPr>
        <w:t>are</w:t>
      </w:r>
      <w:r w:rsidRPr="00081492">
        <w:rPr>
          <w:rFonts w:eastAsiaTheme="minorHAnsi"/>
        </w:rPr>
        <w:t xml:space="preserve"> programmed using the COBOL language.</w:t>
      </w:r>
      <w:r w:rsidR="00B83EBC">
        <w:rPr>
          <w:rFonts w:eastAsiaTheme="minorHAnsi"/>
        </w:rPr>
        <w:t xml:space="preserve"> </w:t>
      </w:r>
      <w:r w:rsidRPr="00081492">
        <w:rPr>
          <w:rFonts w:eastAsiaTheme="minorHAnsi"/>
        </w:rPr>
        <w:t xml:space="preserve">There are a large number of batch programs that provide for scheduled updates to interfaces, business process updates, </w:t>
      </w:r>
      <w:r>
        <w:rPr>
          <w:rFonts w:eastAsiaTheme="minorHAnsi"/>
        </w:rPr>
        <w:t xml:space="preserve">and </w:t>
      </w:r>
      <w:r w:rsidRPr="00081492">
        <w:rPr>
          <w:rFonts w:eastAsiaTheme="minorHAnsi"/>
        </w:rPr>
        <w:t>reports.</w:t>
      </w:r>
    </w:p>
    <w:p w14:paraId="57F9BF71" w14:textId="0B7D6059" w:rsidR="00F81621" w:rsidRPr="006C07C3" w:rsidRDefault="00F81621" w:rsidP="00AE02B8">
      <w:pPr>
        <w:pStyle w:val="Heading4"/>
        <w:rPr>
          <w:rFonts w:eastAsiaTheme="minorHAnsi"/>
        </w:rPr>
      </w:pPr>
      <w:r w:rsidRPr="006C07C3">
        <w:rPr>
          <w:rFonts w:eastAsiaTheme="minorHAnsi"/>
        </w:rPr>
        <w:t>Reporting Overview</w:t>
      </w:r>
    </w:p>
    <w:p w14:paraId="23322E70" w14:textId="34B44B5B" w:rsidR="00F81621" w:rsidRPr="00081492" w:rsidRDefault="00F81621" w:rsidP="005576CE">
      <w:pPr>
        <w:rPr>
          <w:rFonts w:eastAsiaTheme="minorHAnsi"/>
        </w:rPr>
      </w:pPr>
      <w:r w:rsidRPr="00081492">
        <w:rPr>
          <w:rFonts w:eastAsiaTheme="minorHAnsi"/>
        </w:rPr>
        <w:t xml:space="preserve">Reporting </w:t>
      </w:r>
      <w:r w:rsidRPr="005576CE">
        <w:rPr>
          <w:rFonts w:eastAsiaTheme="minorHAnsi"/>
        </w:rPr>
        <w:t>requirements</w:t>
      </w:r>
      <w:r w:rsidRPr="00081492">
        <w:rPr>
          <w:rFonts w:eastAsiaTheme="minorHAnsi"/>
        </w:rPr>
        <w:t xml:space="preserve"> within N-FOCUS are satisfied by several methods. Specific user community needs are addressed through different sets of tools</w:t>
      </w:r>
      <w:r>
        <w:rPr>
          <w:rFonts w:eastAsiaTheme="minorHAnsi"/>
        </w:rPr>
        <w:t>,</w:t>
      </w:r>
      <w:r w:rsidRPr="00081492">
        <w:rPr>
          <w:rFonts w:eastAsiaTheme="minorHAnsi"/>
        </w:rPr>
        <w:t xml:space="preserve"> data access paths</w:t>
      </w:r>
      <w:r>
        <w:rPr>
          <w:rFonts w:eastAsiaTheme="minorHAnsi"/>
        </w:rPr>
        <w:t>,</w:t>
      </w:r>
      <w:r w:rsidRPr="00081492">
        <w:rPr>
          <w:rFonts w:eastAsiaTheme="minorHAnsi"/>
        </w:rPr>
        <w:t xml:space="preserve"> and repositories. </w:t>
      </w:r>
      <w:r>
        <w:rPr>
          <w:rFonts w:eastAsiaTheme="minorHAnsi"/>
        </w:rPr>
        <w:t>In addition to</w:t>
      </w:r>
      <w:r w:rsidRPr="00081492">
        <w:rPr>
          <w:rFonts w:eastAsiaTheme="minorHAnsi"/>
        </w:rPr>
        <w:t xml:space="preserve"> </w:t>
      </w:r>
      <w:r>
        <w:rPr>
          <w:rFonts w:eastAsiaTheme="minorHAnsi"/>
        </w:rPr>
        <w:t>Business Objects</w:t>
      </w:r>
      <w:r w:rsidRPr="00081492">
        <w:rPr>
          <w:rFonts w:eastAsiaTheme="minorHAnsi"/>
        </w:rPr>
        <w:t xml:space="preserve"> analytical tools, N-FOCUS also includes a separate environment for reporting.</w:t>
      </w:r>
      <w:r w:rsidR="00B83EBC">
        <w:rPr>
          <w:rFonts w:eastAsiaTheme="minorHAnsi"/>
        </w:rPr>
        <w:t xml:space="preserve"> </w:t>
      </w:r>
      <w:r w:rsidRPr="00081492">
        <w:rPr>
          <w:rFonts w:eastAsiaTheme="minorHAnsi"/>
        </w:rPr>
        <w:t xml:space="preserve">There are three basic categories of reporting in N-FOCUS: </w:t>
      </w:r>
    </w:p>
    <w:p w14:paraId="572C571A" w14:textId="77777777" w:rsidR="00F81621" w:rsidRPr="0023624A" w:rsidRDefault="00F81621" w:rsidP="005576CE">
      <w:pPr>
        <w:pStyle w:val="bullet1"/>
        <w:rPr>
          <w:rFonts w:eastAsiaTheme="minorHAnsi"/>
        </w:rPr>
      </w:pPr>
      <w:r w:rsidRPr="0023624A">
        <w:rPr>
          <w:rFonts w:eastAsiaTheme="minorHAnsi"/>
        </w:rPr>
        <w:t xml:space="preserve">Standard program management reports </w:t>
      </w:r>
    </w:p>
    <w:p w14:paraId="5B16672C" w14:textId="77777777" w:rsidR="00F81621" w:rsidRPr="0023624A" w:rsidRDefault="00F81621" w:rsidP="009938AB">
      <w:pPr>
        <w:pStyle w:val="bullet1"/>
        <w:rPr>
          <w:rFonts w:eastAsiaTheme="minorHAnsi"/>
        </w:rPr>
      </w:pPr>
      <w:r w:rsidRPr="0023624A">
        <w:rPr>
          <w:rFonts w:eastAsiaTheme="minorHAnsi"/>
        </w:rPr>
        <w:t>Quality assurance and regulatory compliance reporting services.</w:t>
      </w:r>
    </w:p>
    <w:p w14:paraId="0580DDF4" w14:textId="77777777" w:rsidR="00F81621" w:rsidRDefault="00F81621" w:rsidP="005576CE">
      <w:pPr>
        <w:pStyle w:val="bullet1"/>
        <w:rPr>
          <w:rFonts w:eastAsiaTheme="minorHAnsi"/>
        </w:rPr>
      </w:pPr>
      <w:r w:rsidRPr="0023624A">
        <w:rPr>
          <w:rFonts w:eastAsiaTheme="minorHAnsi"/>
        </w:rPr>
        <w:t>Ad</w:t>
      </w:r>
      <w:r>
        <w:rPr>
          <w:rFonts w:eastAsiaTheme="minorHAnsi"/>
        </w:rPr>
        <w:t xml:space="preserve"> </w:t>
      </w:r>
      <w:r w:rsidRPr="0023624A">
        <w:rPr>
          <w:rFonts w:eastAsiaTheme="minorHAnsi"/>
        </w:rPr>
        <w:t xml:space="preserve">hoc reporting run against the production </w:t>
      </w:r>
      <w:r>
        <w:rPr>
          <w:rFonts w:eastAsiaTheme="minorHAnsi"/>
        </w:rPr>
        <w:t>data</w:t>
      </w:r>
      <w:r w:rsidRPr="0023624A">
        <w:rPr>
          <w:rFonts w:eastAsiaTheme="minorHAnsi"/>
        </w:rPr>
        <w:t xml:space="preserve"> </w:t>
      </w:r>
      <w:r>
        <w:rPr>
          <w:rFonts w:eastAsiaTheme="minorHAnsi"/>
        </w:rPr>
        <w:t>performed</w:t>
      </w:r>
      <w:r w:rsidRPr="0023624A">
        <w:rPr>
          <w:rFonts w:eastAsiaTheme="minorHAnsi"/>
        </w:rPr>
        <w:t xml:space="preserve"> by qualified development team</w:t>
      </w:r>
      <w:r>
        <w:rPr>
          <w:rFonts w:eastAsiaTheme="minorHAnsi"/>
        </w:rPr>
        <w:t xml:space="preserve"> members</w:t>
      </w:r>
      <w:r w:rsidRPr="0023624A">
        <w:rPr>
          <w:rFonts w:eastAsiaTheme="minorHAnsi"/>
        </w:rPr>
        <w:t xml:space="preserve">. </w:t>
      </w:r>
    </w:p>
    <w:p w14:paraId="2196E9E7" w14:textId="71D359E7" w:rsidR="00F81621" w:rsidRPr="005576CE" w:rsidRDefault="00F81621" w:rsidP="005576CE">
      <w:pPr>
        <w:rPr>
          <w:rFonts w:eastAsiaTheme="minorHAnsi"/>
        </w:rPr>
      </w:pPr>
      <w:r>
        <w:rPr>
          <w:rFonts w:eastAsiaTheme="minorHAnsi"/>
        </w:rPr>
        <w:t xml:space="preserve">Currently all </w:t>
      </w:r>
      <w:r w:rsidRPr="005576CE">
        <w:rPr>
          <w:rFonts w:eastAsiaTheme="minorHAnsi"/>
        </w:rPr>
        <w:t>reports</w:t>
      </w:r>
      <w:r>
        <w:rPr>
          <w:rFonts w:eastAsiaTheme="minorHAnsi"/>
        </w:rPr>
        <w:t xml:space="preserve"> are run in a batch environment and are stored on the Business Objects Enterprise server. This allows users to select the format of the report (from HTML, PDF, </w:t>
      </w:r>
      <w:r w:rsidR="009938AB">
        <w:rPr>
          <w:rFonts w:eastAsiaTheme="minorHAnsi"/>
        </w:rPr>
        <w:t>Microsoft E</w:t>
      </w:r>
      <w:r>
        <w:rPr>
          <w:rFonts w:eastAsiaTheme="minorHAnsi"/>
        </w:rPr>
        <w:t xml:space="preserve">xcel etc.). There </w:t>
      </w:r>
      <w:r w:rsidR="006F2234">
        <w:rPr>
          <w:rFonts w:eastAsiaTheme="minorHAnsi"/>
        </w:rPr>
        <w:t>are some</w:t>
      </w:r>
      <w:r w:rsidR="00180EB9">
        <w:rPr>
          <w:rFonts w:eastAsiaTheme="minorHAnsi"/>
        </w:rPr>
        <w:t xml:space="preserve"> </w:t>
      </w:r>
      <w:r>
        <w:rPr>
          <w:rFonts w:eastAsiaTheme="minorHAnsi"/>
        </w:rPr>
        <w:t>reports that are user selectable on what options to run or that can be run on demand</w:t>
      </w:r>
      <w:r w:rsidR="00180EB9">
        <w:rPr>
          <w:rFonts w:eastAsiaTheme="minorHAnsi"/>
        </w:rPr>
        <w:t xml:space="preserve"> through coordination with the Business Objects team</w:t>
      </w:r>
      <w:r>
        <w:rPr>
          <w:rFonts w:eastAsiaTheme="minorHAnsi"/>
        </w:rPr>
        <w:t>.</w:t>
      </w:r>
    </w:p>
    <w:p w14:paraId="33E2F498" w14:textId="48479701" w:rsidR="00503D76" w:rsidRDefault="00503D76" w:rsidP="00503D76">
      <w:pPr>
        <w:pStyle w:val="FigureNumberedList"/>
        <w:rPr>
          <w:rFonts w:eastAsiaTheme="minorHAnsi"/>
        </w:rPr>
      </w:pPr>
      <w:r>
        <w:rPr>
          <w:rFonts w:eastAsiaTheme="minorHAnsi"/>
        </w:rPr>
        <w:t>N-FOCUS Application Architecture Components</w:t>
      </w:r>
    </w:p>
    <w:p w14:paraId="33A10CA5" w14:textId="446EE451" w:rsidR="00503D76" w:rsidRPr="005576CE" w:rsidRDefault="00503D76" w:rsidP="005576CE">
      <w:pPr>
        <w:rPr>
          <w:rFonts w:eastAsiaTheme="minorHAnsi"/>
        </w:rPr>
      </w:pPr>
      <w:r w:rsidRPr="006062D7">
        <w:rPr>
          <w:rFonts w:eastAsiaTheme="minorHAnsi"/>
          <w:noProof/>
        </w:rPr>
        <w:drawing>
          <wp:inline distT="0" distB="0" distL="0" distR="0" wp14:anchorId="6D39D11D" wp14:editId="42AA3794">
            <wp:extent cx="5943600" cy="5053965"/>
            <wp:effectExtent l="0" t="0" r="0" b="0"/>
            <wp:docPr id="1" name="Picture 2">
              <a:extLst xmlns:a="http://schemas.openxmlformats.org/drawingml/2006/main">
                <a:ext uri="{FF2B5EF4-FFF2-40B4-BE49-F238E27FC236}">
                  <a16:creationId xmlns:a16="http://schemas.microsoft.com/office/drawing/2014/main" id="{D0228837-FB3B-4434-B9E0-242B5D853B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D0228837-FB3B-4434-B9E0-242B5D853B96}"/>
                        </a:ext>
                      </a:extLst>
                    </pic:cNvPr>
                    <pic:cNvPicPr>
                      <a:picLocks noChangeAspect="1"/>
                    </pic:cNvPicPr>
                  </pic:nvPicPr>
                  <pic:blipFill>
                    <a:blip r:embed="rId14"/>
                    <a:stretch>
                      <a:fillRect/>
                    </a:stretch>
                  </pic:blipFill>
                  <pic:spPr>
                    <a:xfrm>
                      <a:off x="0" y="0"/>
                      <a:ext cx="5943600" cy="5053965"/>
                    </a:xfrm>
                    <a:prstGeom prst="rect">
                      <a:avLst/>
                    </a:prstGeom>
                  </pic:spPr>
                </pic:pic>
              </a:graphicData>
            </a:graphic>
          </wp:inline>
        </w:drawing>
      </w:r>
    </w:p>
    <w:p w14:paraId="359816C4" w14:textId="77777777" w:rsidR="00F81621" w:rsidRPr="006C07C3" w:rsidRDefault="00F81621" w:rsidP="00AE02B8">
      <w:pPr>
        <w:pStyle w:val="Heading4"/>
        <w:rPr>
          <w:rFonts w:eastAsiaTheme="minorHAnsi"/>
        </w:rPr>
      </w:pPr>
      <w:r w:rsidRPr="006C07C3">
        <w:rPr>
          <w:rFonts w:eastAsiaTheme="minorHAnsi"/>
        </w:rPr>
        <w:t xml:space="preserve">Information Security Architecture Overview </w:t>
      </w:r>
    </w:p>
    <w:p w14:paraId="003B43F2" w14:textId="52DFCE48" w:rsidR="00F81621" w:rsidRPr="005576CE" w:rsidRDefault="00F81621" w:rsidP="005576CE">
      <w:pPr>
        <w:rPr>
          <w:rFonts w:eastAsiaTheme="minorHAnsi"/>
        </w:rPr>
      </w:pPr>
      <w:r w:rsidRPr="00081492">
        <w:rPr>
          <w:rFonts w:eastAsiaTheme="minorHAnsi"/>
        </w:rPr>
        <w:t>N-</w:t>
      </w:r>
      <w:r w:rsidRPr="005576CE">
        <w:rPr>
          <w:rFonts w:eastAsiaTheme="minorHAnsi"/>
        </w:rPr>
        <w:t>FOCUS</w:t>
      </w:r>
      <w:r w:rsidRPr="00081492">
        <w:rPr>
          <w:rFonts w:eastAsiaTheme="minorHAnsi"/>
        </w:rPr>
        <w:t xml:space="preserve"> contains information that is highly confidential and sensitive in nature. N-FOCUS security architecture is based on a layered model incorporating security controls in each layer.</w:t>
      </w:r>
    </w:p>
    <w:p w14:paraId="7CAA4B2A" w14:textId="77777777" w:rsidR="00F81621" w:rsidRPr="005576CE" w:rsidRDefault="00F81621" w:rsidP="005576CE">
      <w:pPr>
        <w:rPr>
          <w:rFonts w:eastAsiaTheme="minorHAnsi"/>
        </w:rPr>
      </w:pPr>
      <w:r w:rsidRPr="00081492">
        <w:rPr>
          <w:rFonts w:eastAsiaTheme="minorHAnsi"/>
        </w:rPr>
        <w:t>The security in each layer includes:</w:t>
      </w:r>
    </w:p>
    <w:p w14:paraId="2C128990" w14:textId="3031D279" w:rsidR="00F81621" w:rsidRPr="0023624A" w:rsidRDefault="00F81621" w:rsidP="005576CE">
      <w:pPr>
        <w:pStyle w:val="bullet1"/>
        <w:rPr>
          <w:rFonts w:eastAsiaTheme="minorHAnsi"/>
        </w:rPr>
      </w:pPr>
      <w:r w:rsidRPr="0023624A">
        <w:rPr>
          <w:rFonts w:eastAsiaTheme="minorHAnsi"/>
        </w:rPr>
        <w:t xml:space="preserve">Workstation/LAN </w:t>
      </w:r>
      <w:r w:rsidR="009938AB">
        <w:rPr>
          <w:rFonts w:eastAsiaTheme="minorHAnsi"/>
        </w:rPr>
        <w:t>s</w:t>
      </w:r>
      <w:r w:rsidRPr="0023624A">
        <w:rPr>
          <w:rFonts w:eastAsiaTheme="minorHAnsi"/>
        </w:rPr>
        <w:t xml:space="preserve">ecurity </w:t>
      </w:r>
      <w:r w:rsidR="009938AB">
        <w:rPr>
          <w:rFonts w:eastAsiaTheme="minorHAnsi"/>
        </w:rPr>
        <w:t>c</w:t>
      </w:r>
      <w:r w:rsidRPr="0023624A">
        <w:rPr>
          <w:rFonts w:eastAsiaTheme="minorHAnsi"/>
        </w:rPr>
        <w:t xml:space="preserve">omponents </w:t>
      </w:r>
    </w:p>
    <w:p w14:paraId="5E34328D" w14:textId="02644427" w:rsidR="00F81621" w:rsidRPr="0023624A" w:rsidRDefault="00F81621" w:rsidP="005576CE">
      <w:pPr>
        <w:pStyle w:val="bullet1"/>
        <w:rPr>
          <w:rFonts w:eastAsiaTheme="minorHAnsi"/>
        </w:rPr>
      </w:pPr>
      <w:r w:rsidRPr="0023624A">
        <w:rPr>
          <w:rFonts w:eastAsiaTheme="minorHAnsi"/>
        </w:rPr>
        <w:t>Authentication by unique user id and passwords – standard Active Directory logon scripts and network access security</w:t>
      </w:r>
    </w:p>
    <w:p w14:paraId="138431E1" w14:textId="77777777" w:rsidR="00F81621" w:rsidRPr="0023624A" w:rsidRDefault="00F81621" w:rsidP="005576CE">
      <w:pPr>
        <w:pStyle w:val="bullet1"/>
        <w:rPr>
          <w:rFonts w:eastAsiaTheme="minorHAnsi"/>
        </w:rPr>
      </w:pPr>
      <w:r w:rsidRPr="0023624A">
        <w:rPr>
          <w:rFonts w:eastAsiaTheme="minorHAnsi"/>
        </w:rPr>
        <w:t xml:space="preserve">Physical security of workstations </w:t>
      </w:r>
    </w:p>
    <w:p w14:paraId="517A325E" w14:textId="1D66546D" w:rsidR="00F81621" w:rsidRDefault="00F81621" w:rsidP="005576CE">
      <w:pPr>
        <w:pStyle w:val="bullet1"/>
        <w:rPr>
          <w:rFonts w:eastAsiaTheme="minorHAnsi"/>
        </w:rPr>
      </w:pPr>
      <w:r>
        <w:rPr>
          <w:rFonts w:eastAsiaTheme="minorHAnsi"/>
        </w:rPr>
        <w:t xml:space="preserve">Server </w:t>
      </w:r>
      <w:r w:rsidR="009938AB">
        <w:rPr>
          <w:rFonts w:eastAsiaTheme="minorHAnsi"/>
        </w:rPr>
        <w:t>s</w:t>
      </w:r>
      <w:r>
        <w:rPr>
          <w:rFonts w:eastAsiaTheme="minorHAnsi"/>
        </w:rPr>
        <w:t xml:space="preserve">ecurity </w:t>
      </w:r>
      <w:r w:rsidR="009938AB">
        <w:rPr>
          <w:rFonts w:eastAsiaTheme="minorHAnsi"/>
        </w:rPr>
        <w:t>c</w:t>
      </w:r>
      <w:r>
        <w:rPr>
          <w:rFonts w:eastAsiaTheme="minorHAnsi"/>
        </w:rPr>
        <w:t>omponents</w:t>
      </w:r>
    </w:p>
    <w:p w14:paraId="57EB31BD" w14:textId="3B71CAA4" w:rsidR="00F81621" w:rsidRDefault="00F81621" w:rsidP="005576CE">
      <w:pPr>
        <w:pStyle w:val="bullet1"/>
        <w:rPr>
          <w:rFonts w:eastAsiaTheme="minorHAnsi"/>
        </w:rPr>
      </w:pPr>
      <w:r w:rsidRPr="0023624A">
        <w:rPr>
          <w:rFonts w:eastAsiaTheme="minorHAnsi"/>
        </w:rPr>
        <w:t xml:space="preserve">Application/Host </w:t>
      </w:r>
      <w:r w:rsidR="009938AB">
        <w:rPr>
          <w:rFonts w:eastAsiaTheme="minorHAnsi"/>
        </w:rPr>
        <w:t>s</w:t>
      </w:r>
      <w:r w:rsidRPr="0023624A">
        <w:rPr>
          <w:rFonts w:eastAsiaTheme="minorHAnsi"/>
        </w:rPr>
        <w:t xml:space="preserve">ecurity </w:t>
      </w:r>
      <w:r w:rsidR="009938AB">
        <w:rPr>
          <w:rFonts w:eastAsiaTheme="minorHAnsi"/>
        </w:rPr>
        <w:t>c</w:t>
      </w:r>
      <w:r w:rsidRPr="0023624A">
        <w:rPr>
          <w:rFonts w:eastAsiaTheme="minorHAnsi"/>
        </w:rPr>
        <w:t>omponents</w:t>
      </w:r>
    </w:p>
    <w:p w14:paraId="74E00795" w14:textId="1777D869" w:rsidR="00F81621" w:rsidRPr="0023624A" w:rsidRDefault="00F81621" w:rsidP="005576CE">
      <w:pPr>
        <w:pStyle w:val="bullet2"/>
        <w:rPr>
          <w:rFonts w:eastAsiaTheme="minorHAnsi"/>
        </w:rPr>
      </w:pPr>
      <w:r w:rsidRPr="0023624A">
        <w:rPr>
          <w:rFonts w:eastAsiaTheme="minorHAnsi"/>
        </w:rPr>
        <w:t>Application security is based on IBM’s Resource Access Control Facility (RACF) security systems. Each user is uniquely identified to the</w:t>
      </w:r>
      <w:r>
        <w:rPr>
          <w:rFonts w:eastAsiaTheme="minorHAnsi"/>
        </w:rPr>
        <w:t xml:space="preserve"> individual</w:t>
      </w:r>
      <w:r w:rsidRPr="0023624A">
        <w:rPr>
          <w:rFonts w:eastAsiaTheme="minorHAnsi"/>
        </w:rPr>
        <w:t xml:space="preserve"> </w:t>
      </w:r>
      <w:r>
        <w:rPr>
          <w:rFonts w:eastAsiaTheme="minorHAnsi"/>
        </w:rPr>
        <w:t>applications</w:t>
      </w:r>
      <w:r w:rsidRPr="0023624A">
        <w:rPr>
          <w:rFonts w:eastAsiaTheme="minorHAnsi"/>
        </w:rPr>
        <w:t xml:space="preserve"> by dedicated representatives from the State, </w:t>
      </w:r>
      <w:r>
        <w:rPr>
          <w:rFonts w:eastAsiaTheme="minorHAnsi"/>
        </w:rPr>
        <w:t>C</w:t>
      </w:r>
      <w:r w:rsidRPr="0023624A">
        <w:rPr>
          <w:rFonts w:eastAsiaTheme="minorHAnsi"/>
        </w:rPr>
        <w:t>ounty, or office security administrator using unique user id and passwords.</w:t>
      </w:r>
    </w:p>
    <w:p w14:paraId="518FDCDC" w14:textId="6BB5FE06" w:rsidR="00F81621" w:rsidRPr="0023624A" w:rsidRDefault="00F81621" w:rsidP="005576CE">
      <w:pPr>
        <w:pStyle w:val="bullet2"/>
        <w:rPr>
          <w:rFonts w:eastAsiaTheme="minorHAnsi"/>
        </w:rPr>
      </w:pPr>
      <w:r w:rsidRPr="0023624A">
        <w:rPr>
          <w:rFonts w:eastAsiaTheme="minorHAnsi"/>
        </w:rPr>
        <w:t>Access to cases, reports, and data is based on a pre-assigned user authority profile that restricts access to individual programs, reports, and data on the host.</w:t>
      </w:r>
    </w:p>
    <w:p w14:paraId="1718B5F9" w14:textId="3FDF09C4" w:rsidR="00F81621" w:rsidRPr="0023624A" w:rsidRDefault="00F81621" w:rsidP="005576CE">
      <w:pPr>
        <w:pStyle w:val="bullet2"/>
        <w:rPr>
          <w:rFonts w:eastAsiaTheme="minorHAnsi"/>
        </w:rPr>
      </w:pPr>
      <w:r w:rsidRPr="0023624A">
        <w:rPr>
          <w:rFonts w:eastAsiaTheme="minorHAnsi"/>
        </w:rPr>
        <w:t>Access logic is part of the application</w:t>
      </w:r>
      <w:r>
        <w:rPr>
          <w:rFonts w:eastAsiaTheme="minorHAnsi"/>
        </w:rPr>
        <w:t xml:space="preserve"> program</w:t>
      </w:r>
      <w:r w:rsidRPr="0023624A">
        <w:rPr>
          <w:rFonts w:eastAsiaTheme="minorHAnsi"/>
        </w:rPr>
        <w:t xml:space="preserve"> logic</w:t>
      </w:r>
      <w:r w:rsidR="009938AB">
        <w:rPr>
          <w:rFonts w:eastAsiaTheme="minorHAnsi"/>
        </w:rPr>
        <w:t>.</w:t>
      </w:r>
    </w:p>
    <w:p w14:paraId="2A09C0F7" w14:textId="059781A1" w:rsidR="00F81621" w:rsidRPr="00EB3FFE" w:rsidRDefault="009938AB" w:rsidP="00EB3FFE">
      <w:pPr>
        <w:pStyle w:val="bullet2"/>
        <w:rPr>
          <w:rFonts w:eastAsiaTheme="minorHAnsi"/>
        </w:rPr>
      </w:pPr>
      <w:r>
        <w:rPr>
          <w:rFonts w:eastAsiaTheme="minorHAnsi"/>
        </w:rPr>
        <w:t>Relational Database Management System (</w:t>
      </w:r>
      <w:r w:rsidR="00F81621" w:rsidRPr="00EB3FFE">
        <w:rPr>
          <w:rFonts w:eastAsiaTheme="minorHAnsi"/>
        </w:rPr>
        <w:t>RDBMS</w:t>
      </w:r>
      <w:r>
        <w:rPr>
          <w:rFonts w:eastAsiaTheme="minorHAnsi"/>
        </w:rPr>
        <w:t>)</w:t>
      </w:r>
      <w:r w:rsidR="00F81621" w:rsidRPr="00EB3FFE">
        <w:rPr>
          <w:rFonts w:eastAsiaTheme="minorHAnsi"/>
        </w:rPr>
        <w:t xml:space="preserve"> </w:t>
      </w:r>
      <w:r>
        <w:rPr>
          <w:rFonts w:eastAsiaTheme="minorHAnsi"/>
        </w:rPr>
        <w:t>s</w:t>
      </w:r>
      <w:r w:rsidR="00F81621" w:rsidRPr="00EB3FFE">
        <w:rPr>
          <w:rFonts w:eastAsiaTheme="minorHAnsi"/>
        </w:rPr>
        <w:t>ecurity – Runtime client encryption and user authentication</w:t>
      </w:r>
    </w:p>
    <w:p w14:paraId="533C7D59" w14:textId="55C870AD" w:rsidR="00F81621" w:rsidRPr="0023624A" w:rsidRDefault="00F81621" w:rsidP="00EB3FFE">
      <w:pPr>
        <w:pStyle w:val="bullet2"/>
        <w:rPr>
          <w:rFonts w:eastAsiaTheme="minorHAnsi"/>
        </w:rPr>
      </w:pPr>
      <w:r w:rsidRPr="0023624A">
        <w:rPr>
          <w:rFonts w:eastAsiaTheme="minorHAnsi"/>
        </w:rPr>
        <w:t xml:space="preserve">Application </w:t>
      </w:r>
      <w:r w:rsidR="009938AB">
        <w:rPr>
          <w:rFonts w:eastAsiaTheme="minorHAnsi"/>
        </w:rPr>
        <w:t>s</w:t>
      </w:r>
      <w:r w:rsidRPr="0023624A">
        <w:rPr>
          <w:rFonts w:eastAsiaTheme="minorHAnsi"/>
        </w:rPr>
        <w:t>ecurity – Assigned security levels</w:t>
      </w:r>
    </w:p>
    <w:p w14:paraId="52A1B352" w14:textId="7E7125EA" w:rsidR="00F81621" w:rsidRPr="00EC203E" w:rsidRDefault="00F81621" w:rsidP="005576CE">
      <w:pPr>
        <w:pStyle w:val="bullet2"/>
        <w:rPr>
          <w:rFonts w:eastAsiaTheme="minorHAnsi"/>
        </w:rPr>
      </w:pPr>
      <w:r w:rsidRPr="00EC203E">
        <w:rPr>
          <w:rFonts w:eastAsiaTheme="minorHAnsi"/>
        </w:rPr>
        <w:t xml:space="preserve">Data </w:t>
      </w:r>
      <w:r w:rsidR="009938AB">
        <w:rPr>
          <w:rFonts w:eastAsiaTheme="minorHAnsi"/>
        </w:rPr>
        <w:t>a</w:t>
      </w:r>
      <w:r w:rsidRPr="00EC203E">
        <w:rPr>
          <w:rFonts w:eastAsiaTheme="minorHAnsi"/>
        </w:rPr>
        <w:t xml:space="preserve">ccess </w:t>
      </w:r>
      <w:r w:rsidR="009938AB">
        <w:rPr>
          <w:rFonts w:eastAsiaTheme="minorHAnsi"/>
        </w:rPr>
        <w:t>s</w:t>
      </w:r>
      <w:r w:rsidRPr="00EC203E">
        <w:rPr>
          <w:rFonts w:eastAsiaTheme="minorHAnsi"/>
        </w:rPr>
        <w:t>ecurity – Assigned by authorization level, views, and profiles</w:t>
      </w:r>
    </w:p>
    <w:p w14:paraId="20693186" w14:textId="62C36E73" w:rsidR="00F81621" w:rsidRPr="00EB3FFE" w:rsidRDefault="00F81621" w:rsidP="00EB3FFE">
      <w:pPr>
        <w:pStyle w:val="bullet2"/>
        <w:rPr>
          <w:rFonts w:eastAsiaTheme="minorHAnsi"/>
        </w:rPr>
      </w:pPr>
      <w:r w:rsidRPr="00EB3FFE">
        <w:rPr>
          <w:rFonts w:eastAsiaTheme="minorHAnsi"/>
        </w:rPr>
        <w:t xml:space="preserve">Network </w:t>
      </w:r>
      <w:r w:rsidR="009938AB">
        <w:rPr>
          <w:rFonts w:eastAsiaTheme="minorHAnsi"/>
        </w:rPr>
        <w:t>s</w:t>
      </w:r>
      <w:r w:rsidRPr="00EB3FFE">
        <w:rPr>
          <w:rFonts w:eastAsiaTheme="minorHAnsi"/>
        </w:rPr>
        <w:t xml:space="preserve">ecurity </w:t>
      </w:r>
      <w:r w:rsidR="009938AB">
        <w:rPr>
          <w:rFonts w:eastAsiaTheme="minorHAnsi"/>
        </w:rPr>
        <w:t>c</w:t>
      </w:r>
      <w:r w:rsidRPr="00EB3FFE">
        <w:rPr>
          <w:rFonts w:eastAsiaTheme="minorHAnsi"/>
        </w:rPr>
        <w:t>omponents/</w:t>
      </w:r>
      <w:r w:rsidR="009938AB">
        <w:rPr>
          <w:rFonts w:eastAsiaTheme="minorHAnsi"/>
        </w:rPr>
        <w:t>e</w:t>
      </w:r>
      <w:r w:rsidRPr="00EB3FFE">
        <w:rPr>
          <w:rFonts w:eastAsiaTheme="minorHAnsi"/>
        </w:rPr>
        <w:t>ncryption</w:t>
      </w:r>
    </w:p>
    <w:p w14:paraId="7E9DA842" w14:textId="505C1D4D" w:rsidR="00F81621" w:rsidRPr="00EC203E" w:rsidRDefault="00F81621" w:rsidP="005576CE">
      <w:pPr>
        <w:pStyle w:val="bullet2"/>
        <w:rPr>
          <w:rFonts w:eastAsiaTheme="minorHAnsi"/>
        </w:rPr>
      </w:pPr>
      <w:r w:rsidRPr="00EC203E">
        <w:rPr>
          <w:rFonts w:eastAsiaTheme="minorHAnsi"/>
        </w:rPr>
        <w:t xml:space="preserve">Remote </w:t>
      </w:r>
      <w:r w:rsidR="009938AB">
        <w:rPr>
          <w:rFonts w:eastAsiaTheme="minorHAnsi"/>
        </w:rPr>
        <w:t>a</w:t>
      </w:r>
      <w:r w:rsidRPr="00EC203E">
        <w:rPr>
          <w:rFonts w:eastAsiaTheme="minorHAnsi"/>
        </w:rPr>
        <w:t xml:space="preserve">ccess </w:t>
      </w:r>
      <w:r w:rsidR="009938AB">
        <w:rPr>
          <w:rFonts w:eastAsiaTheme="minorHAnsi"/>
        </w:rPr>
        <w:t>s</w:t>
      </w:r>
      <w:r w:rsidRPr="00EC203E">
        <w:rPr>
          <w:rFonts w:eastAsiaTheme="minorHAnsi"/>
        </w:rPr>
        <w:t xml:space="preserve">ecurity – Currently, remote access is supported via dial-up circuits or VPN. Security is enforced through user IDs and passwords. </w:t>
      </w:r>
      <w:r>
        <w:rPr>
          <w:rFonts w:eastAsiaTheme="minorHAnsi"/>
        </w:rPr>
        <w:t xml:space="preserve">Since access to most of the N-FOCUS environment is made available to remote users via CITRIX, the CITRIX security system is layered on top of other controls for user’s access. </w:t>
      </w:r>
    </w:p>
    <w:p w14:paraId="014CF03B" w14:textId="207FD2B7" w:rsidR="00F81621" w:rsidRPr="00EC203E" w:rsidRDefault="00F81621" w:rsidP="005576CE">
      <w:pPr>
        <w:pStyle w:val="bullet1"/>
        <w:rPr>
          <w:rFonts w:eastAsiaTheme="minorHAnsi"/>
        </w:rPr>
      </w:pPr>
      <w:r w:rsidRPr="00EC203E">
        <w:rPr>
          <w:rFonts w:eastAsiaTheme="minorHAnsi"/>
        </w:rPr>
        <w:t xml:space="preserve">Logging and </w:t>
      </w:r>
      <w:r w:rsidR="009938AB">
        <w:rPr>
          <w:rFonts w:eastAsiaTheme="minorHAnsi"/>
        </w:rPr>
        <w:t>t</w:t>
      </w:r>
      <w:r w:rsidRPr="00EC203E">
        <w:rPr>
          <w:rFonts w:eastAsiaTheme="minorHAnsi"/>
        </w:rPr>
        <w:t>racking</w:t>
      </w:r>
    </w:p>
    <w:p w14:paraId="7FA8AB78" w14:textId="378FBE2F" w:rsidR="00F81621" w:rsidRPr="00EC203E" w:rsidRDefault="00F81621" w:rsidP="005576CE">
      <w:pPr>
        <w:pStyle w:val="bullet2"/>
        <w:rPr>
          <w:rFonts w:eastAsiaTheme="minorHAnsi"/>
        </w:rPr>
      </w:pPr>
      <w:r w:rsidRPr="00EC203E">
        <w:rPr>
          <w:rFonts w:eastAsiaTheme="minorHAnsi"/>
        </w:rPr>
        <w:t>Invalid user IDs and passwords, as well as login attempts, are tracked in a security log</w:t>
      </w:r>
    </w:p>
    <w:p w14:paraId="04C728F6" w14:textId="2CA04CBF" w:rsidR="00F81621" w:rsidRDefault="00F81621" w:rsidP="00EB3FFE">
      <w:pPr>
        <w:pStyle w:val="bullet2"/>
        <w:rPr>
          <w:rFonts w:eastAsiaTheme="minorHAnsi"/>
        </w:rPr>
      </w:pPr>
      <w:r>
        <w:rPr>
          <w:rFonts w:eastAsiaTheme="minorHAnsi"/>
        </w:rPr>
        <w:t>All user access to systems, including inquiries</w:t>
      </w:r>
    </w:p>
    <w:p w14:paraId="677B28E0" w14:textId="0DD4ADDA" w:rsidR="00F81621" w:rsidRPr="00EC203E" w:rsidRDefault="00F81621" w:rsidP="00EB3FFE">
      <w:pPr>
        <w:pStyle w:val="bullet2"/>
        <w:rPr>
          <w:rFonts w:eastAsiaTheme="minorHAnsi"/>
        </w:rPr>
      </w:pPr>
      <w:r w:rsidRPr="00EC203E">
        <w:rPr>
          <w:rFonts w:eastAsiaTheme="minorHAnsi"/>
        </w:rPr>
        <w:t>Logs are reviewed periodically by security administrators based on local policies</w:t>
      </w:r>
    </w:p>
    <w:p w14:paraId="7ADC0C76" w14:textId="4D71C29E" w:rsidR="00F81621" w:rsidRDefault="00F81621" w:rsidP="00EB3FFE">
      <w:pPr>
        <w:pStyle w:val="bullet2"/>
        <w:rPr>
          <w:rFonts w:eastAsiaTheme="minorHAnsi"/>
        </w:rPr>
      </w:pPr>
      <w:r w:rsidRPr="00EC203E">
        <w:rPr>
          <w:rFonts w:eastAsiaTheme="minorHAnsi"/>
        </w:rPr>
        <w:t xml:space="preserve">Automatic revocation of user IDs and passwords after a </w:t>
      </w:r>
      <w:r w:rsidR="00324327">
        <w:rPr>
          <w:rFonts w:eastAsiaTheme="minorHAnsi"/>
        </w:rPr>
        <w:t>predefined</w:t>
      </w:r>
      <w:r w:rsidRPr="00EC203E">
        <w:rPr>
          <w:rFonts w:eastAsiaTheme="minorHAnsi"/>
        </w:rPr>
        <w:t xml:space="preserve"> number of failed attempts</w:t>
      </w:r>
    </w:p>
    <w:p w14:paraId="66D70B11" w14:textId="2AB2F71B" w:rsidR="00F81621" w:rsidRPr="00170021" w:rsidRDefault="00F81621" w:rsidP="005576CE">
      <w:pPr>
        <w:pStyle w:val="bullet1"/>
        <w:rPr>
          <w:rFonts w:eastAsiaTheme="minorHAnsi"/>
        </w:rPr>
      </w:pPr>
      <w:r w:rsidRPr="00C944AF">
        <w:rPr>
          <w:rFonts w:eastAsiaTheme="minorHAnsi"/>
        </w:rPr>
        <w:t xml:space="preserve">Data </w:t>
      </w:r>
      <w:r w:rsidR="009938AB">
        <w:rPr>
          <w:rFonts w:eastAsiaTheme="minorHAnsi"/>
        </w:rPr>
        <w:t>b</w:t>
      </w:r>
      <w:r w:rsidRPr="00C944AF">
        <w:rPr>
          <w:rFonts w:eastAsiaTheme="minorHAnsi"/>
        </w:rPr>
        <w:t xml:space="preserve">ackup and </w:t>
      </w:r>
      <w:r w:rsidR="009938AB">
        <w:rPr>
          <w:rFonts w:eastAsiaTheme="minorHAnsi"/>
        </w:rPr>
        <w:t>r</w:t>
      </w:r>
      <w:r w:rsidRPr="00C944AF">
        <w:rPr>
          <w:rFonts w:eastAsiaTheme="minorHAnsi"/>
        </w:rPr>
        <w:t>ecovery</w:t>
      </w:r>
    </w:p>
    <w:p w14:paraId="62D08349" w14:textId="664E77E8" w:rsidR="00F81621" w:rsidRPr="00EC203E" w:rsidRDefault="00F81621" w:rsidP="005576CE">
      <w:pPr>
        <w:pStyle w:val="bullet2"/>
        <w:rPr>
          <w:rFonts w:eastAsiaTheme="minorHAnsi"/>
        </w:rPr>
      </w:pPr>
      <w:r w:rsidRPr="00C944AF">
        <w:rPr>
          <w:rFonts w:eastAsiaTheme="minorHAnsi"/>
        </w:rPr>
        <w:t>Data are backed-up daily on the host and the local application serv</w:t>
      </w:r>
      <w:r w:rsidRPr="00EC203E">
        <w:rPr>
          <w:rFonts w:eastAsiaTheme="minorHAnsi"/>
        </w:rPr>
        <w:t>ers (local user files)</w:t>
      </w:r>
    </w:p>
    <w:p w14:paraId="744967E0" w14:textId="24C48B6A" w:rsidR="00F81621" w:rsidRPr="00EC203E" w:rsidRDefault="00F81621" w:rsidP="00EB3FFE">
      <w:pPr>
        <w:pStyle w:val="bullet2"/>
        <w:rPr>
          <w:rFonts w:eastAsiaTheme="minorHAnsi"/>
        </w:rPr>
      </w:pPr>
      <w:r w:rsidRPr="00EC203E">
        <w:rPr>
          <w:rFonts w:eastAsiaTheme="minorHAnsi"/>
        </w:rPr>
        <w:t>Tapes at the data center are moved off-site on a daily basis</w:t>
      </w:r>
    </w:p>
    <w:p w14:paraId="3F22ECD8" w14:textId="47A84F95" w:rsidR="00F81621" w:rsidRPr="00EC203E" w:rsidRDefault="00F81621" w:rsidP="005576CE">
      <w:pPr>
        <w:pStyle w:val="bullet1"/>
        <w:rPr>
          <w:rFonts w:eastAsiaTheme="minorHAnsi"/>
        </w:rPr>
      </w:pPr>
      <w:r w:rsidRPr="00EC203E">
        <w:rPr>
          <w:rFonts w:eastAsiaTheme="minorHAnsi"/>
        </w:rPr>
        <w:t xml:space="preserve">Physical </w:t>
      </w:r>
      <w:r w:rsidR="009938AB">
        <w:rPr>
          <w:rFonts w:eastAsiaTheme="minorHAnsi"/>
        </w:rPr>
        <w:t>s</w:t>
      </w:r>
      <w:r w:rsidRPr="00EC203E">
        <w:rPr>
          <w:rFonts w:eastAsiaTheme="minorHAnsi"/>
        </w:rPr>
        <w:t>ecurity</w:t>
      </w:r>
    </w:p>
    <w:p w14:paraId="39E4E6AC" w14:textId="557369A2" w:rsidR="00F81621" w:rsidRPr="00EC203E" w:rsidRDefault="00F81621" w:rsidP="005576CE">
      <w:pPr>
        <w:pStyle w:val="bullet2"/>
        <w:rPr>
          <w:rFonts w:eastAsiaTheme="minorHAnsi"/>
        </w:rPr>
      </w:pPr>
      <w:r w:rsidRPr="00EC203E">
        <w:rPr>
          <w:rFonts w:eastAsiaTheme="minorHAnsi"/>
        </w:rPr>
        <w:t>Access to</w:t>
      </w:r>
      <w:r>
        <w:rPr>
          <w:rFonts w:eastAsiaTheme="minorHAnsi"/>
        </w:rPr>
        <w:t xml:space="preserve"> the</w:t>
      </w:r>
      <w:r w:rsidRPr="00EC203E">
        <w:rPr>
          <w:rFonts w:eastAsiaTheme="minorHAnsi"/>
        </w:rPr>
        <w:t xml:space="preserve"> data center</w:t>
      </w:r>
      <w:r>
        <w:rPr>
          <w:rFonts w:eastAsiaTheme="minorHAnsi"/>
        </w:rPr>
        <w:t xml:space="preserve"> is</w:t>
      </w:r>
      <w:r w:rsidRPr="00EC203E">
        <w:rPr>
          <w:rFonts w:eastAsiaTheme="minorHAnsi"/>
        </w:rPr>
        <w:t xml:space="preserve"> controlled by</w:t>
      </w:r>
      <w:r>
        <w:rPr>
          <w:rFonts w:eastAsiaTheme="minorHAnsi"/>
        </w:rPr>
        <w:t xml:space="preserve"> access</w:t>
      </w:r>
      <w:r w:rsidRPr="00EC203E">
        <w:rPr>
          <w:rFonts w:eastAsiaTheme="minorHAnsi"/>
        </w:rPr>
        <w:t xml:space="preserve"> badges</w:t>
      </w:r>
    </w:p>
    <w:p w14:paraId="1D7223E9" w14:textId="2621AC54" w:rsidR="00F81621" w:rsidRPr="00EC203E" w:rsidRDefault="00F81621" w:rsidP="005576CE">
      <w:pPr>
        <w:pStyle w:val="bullet2"/>
        <w:rPr>
          <w:rFonts w:eastAsiaTheme="minorHAnsi"/>
        </w:rPr>
      </w:pPr>
      <w:r w:rsidRPr="00EC203E">
        <w:rPr>
          <w:rFonts w:eastAsiaTheme="minorHAnsi"/>
        </w:rPr>
        <w:t>Servers are placed in locked rooms (policy)</w:t>
      </w:r>
    </w:p>
    <w:p w14:paraId="3ED869CD" w14:textId="2445D5A4" w:rsidR="00F81621" w:rsidRPr="00EC203E" w:rsidRDefault="00F81621" w:rsidP="005576CE">
      <w:pPr>
        <w:pStyle w:val="bullet2"/>
        <w:rPr>
          <w:rFonts w:eastAsiaTheme="minorHAnsi"/>
        </w:rPr>
      </w:pPr>
      <w:r w:rsidRPr="00EC203E">
        <w:rPr>
          <w:rFonts w:eastAsiaTheme="minorHAnsi"/>
        </w:rPr>
        <w:t>Servers (in dedicated environments) have case key locks</w:t>
      </w:r>
    </w:p>
    <w:p w14:paraId="0F5FB43E" w14:textId="77777777" w:rsidR="00F81621" w:rsidRDefault="00F81621" w:rsidP="005576CE">
      <w:pPr>
        <w:pStyle w:val="bullet1"/>
        <w:rPr>
          <w:rFonts w:eastAsiaTheme="minorHAnsi"/>
        </w:rPr>
      </w:pPr>
      <w:r w:rsidRPr="00B26233">
        <w:rPr>
          <w:rFonts w:eastAsiaTheme="minorHAnsi"/>
        </w:rPr>
        <w:t xml:space="preserve">Security Management - Each office has a security manager responsible for: </w:t>
      </w:r>
    </w:p>
    <w:p w14:paraId="65926F09" w14:textId="2DDE4E15" w:rsidR="00F81621" w:rsidRDefault="00F81621" w:rsidP="005576CE">
      <w:pPr>
        <w:pStyle w:val="bullet2"/>
        <w:rPr>
          <w:rFonts w:eastAsiaTheme="minorHAnsi"/>
        </w:rPr>
      </w:pPr>
      <w:r w:rsidRPr="00B26233">
        <w:rPr>
          <w:rFonts w:eastAsiaTheme="minorHAnsi"/>
        </w:rPr>
        <w:t xml:space="preserve">Managing user </w:t>
      </w:r>
      <w:r>
        <w:rPr>
          <w:rFonts w:eastAsiaTheme="minorHAnsi"/>
        </w:rPr>
        <w:t>IDs</w:t>
      </w:r>
      <w:r w:rsidRPr="00B26233">
        <w:rPr>
          <w:rFonts w:eastAsiaTheme="minorHAnsi"/>
        </w:rPr>
        <w:t xml:space="preserve"> and password</w:t>
      </w:r>
      <w:r>
        <w:rPr>
          <w:rFonts w:eastAsiaTheme="minorHAnsi"/>
        </w:rPr>
        <w:t>s</w:t>
      </w:r>
      <w:r w:rsidRPr="00B26233">
        <w:rPr>
          <w:rFonts w:eastAsiaTheme="minorHAnsi"/>
        </w:rPr>
        <w:t xml:space="preserve"> (add, change, delete, reset, etc.)</w:t>
      </w:r>
    </w:p>
    <w:p w14:paraId="3DBA952B" w14:textId="43375550" w:rsidR="00F81621" w:rsidRPr="0057273A" w:rsidRDefault="00F81621" w:rsidP="005576CE">
      <w:pPr>
        <w:pStyle w:val="bullet2"/>
      </w:pPr>
      <w:r w:rsidRPr="00EB3FFE">
        <w:rPr>
          <w:rFonts w:eastAsiaTheme="minorHAnsi"/>
        </w:rPr>
        <w:t>Managing access control and</w:t>
      </w:r>
      <w:r w:rsidRPr="00FA599F">
        <w:rPr>
          <w:rFonts w:eastAsiaTheme="minorHAnsi"/>
        </w:rPr>
        <w:t xml:space="preserve"> authority levels</w:t>
      </w:r>
    </w:p>
    <w:p w14:paraId="39F977DA" w14:textId="2107CC5A" w:rsidR="00F81621" w:rsidRPr="00FA599F" w:rsidRDefault="00F81621" w:rsidP="005576CE">
      <w:pPr>
        <w:pStyle w:val="bullet2"/>
      </w:pPr>
      <w:r w:rsidRPr="0057273A">
        <w:rPr>
          <w:rFonts w:eastAsiaTheme="minorHAnsi"/>
        </w:rPr>
        <w:t>Managing email security</w:t>
      </w:r>
    </w:p>
    <w:p w14:paraId="375A28BA" w14:textId="524E75A1" w:rsidR="00F81621" w:rsidRPr="005576CE" w:rsidRDefault="00F81621" w:rsidP="005576CE">
      <w:r>
        <w:t xml:space="preserve">Large legacy systems evolve over time to use various architecture patterns to deliver applications and solutions to the core and expanded base of end-users. N-FOCUS has over its </w:t>
      </w:r>
      <w:r w:rsidR="00324327">
        <w:t>life cycle</w:t>
      </w:r>
      <w:r>
        <w:t xml:space="preserve"> been consistent with </w:t>
      </w:r>
      <w:r w:rsidR="00890AAA">
        <w:t>this</w:t>
      </w:r>
      <w:r>
        <w:t xml:space="preserve"> development and deployment model. Any modernization project will need to revisit these architectural patterns to determine migration strategies to enable modularization, improved user experience, higher flexibility, responsiveness and scalability. An inventory of key technology and application components to be reviewed in support of delivering new business capabilities includes:</w:t>
      </w:r>
    </w:p>
    <w:p w14:paraId="18D93520" w14:textId="77777777" w:rsidR="00F81621" w:rsidRDefault="00F81621" w:rsidP="00D62D44">
      <w:pPr>
        <w:pStyle w:val="bullet1"/>
      </w:pPr>
      <w:r w:rsidRPr="00C97925">
        <w:t>Core application</w:t>
      </w:r>
      <w:r>
        <w:t xml:space="preserve"> </w:t>
      </w:r>
      <w:r w:rsidRPr="00C97925">
        <w:t>- CICS, client access</w:t>
      </w:r>
    </w:p>
    <w:p w14:paraId="5FD7C006" w14:textId="498BA2C8" w:rsidR="00F81621" w:rsidRDefault="00F81621" w:rsidP="00D62D44">
      <w:pPr>
        <w:pStyle w:val="bullet2"/>
      </w:pPr>
      <w:r>
        <w:t xml:space="preserve">570 </w:t>
      </w:r>
      <w:r w:rsidR="00890AAA">
        <w:t>c</w:t>
      </w:r>
      <w:r>
        <w:t xml:space="preserve">lient </w:t>
      </w:r>
      <w:r w:rsidR="00890AAA">
        <w:t>p</w:t>
      </w:r>
      <w:r>
        <w:t>rocedures</w:t>
      </w:r>
    </w:p>
    <w:p w14:paraId="72EE973E" w14:textId="2885BE6A" w:rsidR="00F81621" w:rsidRDefault="00F81621" w:rsidP="00EB3FFE">
      <w:pPr>
        <w:pStyle w:val="bullet2"/>
      </w:pPr>
      <w:r w:rsidRPr="00C97925">
        <w:t>550 Windows code b</w:t>
      </w:r>
      <w:r>
        <w:t>l</w:t>
      </w:r>
      <w:r w:rsidRPr="00C97925">
        <w:t xml:space="preserve">ocks, 1450 </w:t>
      </w:r>
      <w:r w:rsidR="00324327">
        <w:t>dialog</w:t>
      </w:r>
      <w:r w:rsidRPr="00C97925">
        <w:t xml:space="preserve"> boxes</w:t>
      </w:r>
    </w:p>
    <w:p w14:paraId="462D2966" w14:textId="0852B319" w:rsidR="00F81621" w:rsidRDefault="00F81621" w:rsidP="00D62D44">
      <w:pPr>
        <w:pStyle w:val="bullet2"/>
      </w:pPr>
      <w:r w:rsidRPr="00C97925">
        <w:t xml:space="preserve">555 </w:t>
      </w:r>
      <w:r w:rsidR="00890AAA">
        <w:t>s</w:t>
      </w:r>
      <w:r w:rsidRPr="00C97925">
        <w:t>erver procedures, CICS ECI calls</w:t>
      </w:r>
    </w:p>
    <w:p w14:paraId="4D99FBE8" w14:textId="48C9E621" w:rsidR="00F81621" w:rsidRDefault="00F81621" w:rsidP="00D62D44">
      <w:pPr>
        <w:pStyle w:val="bullet2"/>
      </w:pPr>
      <w:r>
        <w:t xml:space="preserve">Most core </w:t>
      </w:r>
      <w:r w:rsidR="00890AAA">
        <w:t>a</w:t>
      </w:r>
      <w:r>
        <w:t>pplication generated from CA Gen tools</w:t>
      </w:r>
    </w:p>
    <w:p w14:paraId="2761C28F" w14:textId="77777777" w:rsidR="00F81621" w:rsidRDefault="00F81621" w:rsidP="00D62D44">
      <w:pPr>
        <w:pStyle w:val="bullet1"/>
      </w:pPr>
      <w:r w:rsidRPr="00C97925">
        <w:t>Batch C</w:t>
      </w:r>
      <w:r>
        <w:t>OBOL</w:t>
      </w:r>
    </w:p>
    <w:p w14:paraId="6C71A22B" w14:textId="77777777" w:rsidR="00F81621" w:rsidRDefault="00F81621" w:rsidP="00D62D44">
      <w:pPr>
        <w:pStyle w:val="bullet2"/>
      </w:pPr>
      <w:r>
        <w:t>660 procedures</w:t>
      </w:r>
    </w:p>
    <w:p w14:paraId="5E672AA1" w14:textId="77777777" w:rsidR="00F81621" w:rsidRDefault="00F81621" w:rsidP="00D62D44">
      <w:pPr>
        <w:pStyle w:val="bullet2"/>
      </w:pPr>
      <w:r>
        <w:t>720 programs</w:t>
      </w:r>
    </w:p>
    <w:p w14:paraId="36DB489E" w14:textId="77777777" w:rsidR="00F81621" w:rsidRDefault="00F81621" w:rsidP="00D62D44">
      <w:pPr>
        <w:pStyle w:val="bullet2"/>
      </w:pPr>
      <w:r w:rsidRPr="00E7795E">
        <w:t>230 stored procedures</w:t>
      </w:r>
    </w:p>
    <w:p w14:paraId="157D9EFB" w14:textId="77777777" w:rsidR="00F81621" w:rsidRDefault="00F81621" w:rsidP="00D62D44">
      <w:pPr>
        <w:pStyle w:val="bullet2"/>
      </w:pPr>
      <w:r>
        <w:t>Custom written</w:t>
      </w:r>
      <w:r w:rsidRPr="002D0B56">
        <w:t xml:space="preserve"> </w:t>
      </w:r>
      <w:r>
        <w:t>batch COBOL programs (does not use CA Gen)</w:t>
      </w:r>
    </w:p>
    <w:p w14:paraId="0F48C4E6" w14:textId="77777777" w:rsidR="00F81621" w:rsidRDefault="00F81621" w:rsidP="00D62D44">
      <w:pPr>
        <w:pStyle w:val="bullet1"/>
      </w:pPr>
      <w:r w:rsidRPr="00C97925">
        <w:t>Code development</w:t>
      </w:r>
    </w:p>
    <w:p w14:paraId="75B66A7E" w14:textId="70BCA917" w:rsidR="00F81621" w:rsidRDefault="00F81621" w:rsidP="00D62D44">
      <w:pPr>
        <w:pStyle w:val="bullet2"/>
      </w:pPr>
      <w:r>
        <w:t xml:space="preserve">CA Gen </w:t>
      </w:r>
      <w:bookmarkStart w:id="4" w:name="_GoBack"/>
      <w:bookmarkEnd w:id="4"/>
      <w:r w:rsidR="002363C3">
        <w:t xml:space="preserve"> used for a lot of functionality on the mainframe</w:t>
      </w:r>
    </w:p>
    <w:p w14:paraId="722053CA" w14:textId="77777777" w:rsidR="00F81621" w:rsidRDefault="00F81621" w:rsidP="00D62D44">
      <w:pPr>
        <w:pStyle w:val="bullet2"/>
      </w:pPr>
      <w:r>
        <w:t>Visual Studio to compile and test client-side code</w:t>
      </w:r>
    </w:p>
    <w:p w14:paraId="5D3B5B80" w14:textId="28ADE00A" w:rsidR="00F81621" w:rsidRDefault="00F81621" w:rsidP="00D62D44">
      <w:pPr>
        <w:pStyle w:val="bullet2"/>
      </w:pPr>
      <w:r>
        <w:t xml:space="preserve">Eclipse </w:t>
      </w:r>
      <w:r w:rsidR="00890AAA">
        <w:t>i</w:t>
      </w:r>
      <w:r w:rsidRPr="00FC771B">
        <w:t xml:space="preserve">ntegrated </w:t>
      </w:r>
      <w:r w:rsidR="00890AAA">
        <w:t>d</w:t>
      </w:r>
      <w:r w:rsidRPr="00FC771B">
        <w:t xml:space="preserve">evelopment </w:t>
      </w:r>
      <w:r w:rsidR="00890AAA">
        <w:t>e</w:t>
      </w:r>
      <w:r w:rsidRPr="00FC771B">
        <w:t>nvironment</w:t>
      </w:r>
      <w:r>
        <w:t xml:space="preserve"> (IDE) for </w:t>
      </w:r>
      <w:r w:rsidR="00890AAA">
        <w:t>c</w:t>
      </w:r>
      <w:r>
        <w:t xml:space="preserve">onsumer </w:t>
      </w:r>
      <w:r w:rsidR="00890AAA">
        <w:t>p</w:t>
      </w:r>
      <w:r>
        <w:t>ortal and Web components</w:t>
      </w:r>
    </w:p>
    <w:p w14:paraId="493225BA" w14:textId="643E4008" w:rsidR="00F81621" w:rsidRDefault="00F81621" w:rsidP="00D62D44">
      <w:pPr>
        <w:pStyle w:val="bullet1"/>
      </w:pPr>
      <w:r>
        <w:t xml:space="preserve">Consumer </w:t>
      </w:r>
      <w:r w:rsidR="00890AAA">
        <w:t>p</w:t>
      </w:r>
      <w:r>
        <w:t xml:space="preserve">ortal for </w:t>
      </w:r>
      <w:r w:rsidRPr="00C97925">
        <w:t>Web</w:t>
      </w:r>
      <w:r>
        <w:t>-</w:t>
      </w:r>
      <w:r w:rsidR="00890AAA">
        <w:t>b</w:t>
      </w:r>
      <w:r>
        <w:t>ased</w:t>
      </w:r>
      <w:r w:rsidRPr="00C97925">
        <w:t xml:space="preserve"> access</w:t>
      </w:r>
    </w:p>
    <w:p w14:paraId="23DE1D73" w14:textId="59830720" w:rsidR="00F81621" w:rsidRDefault="00F81621" w:rsidP="00D62D44">
      <w:pPr>
        <w:pStyle w:val="bullet2"/>
      </w:pPr>
      <w:r>
        <w:t xml:space="preserve">Linux </w:t>
      </w:r>
      <w:r w:rsidR="00BA3D5F">
        <w:t xml:space="preserve">and Windows </w:t>
      </w:r>
      <w:r w:rsidR="00890AAA">
        <w:t>o</w:t>
      </w:r>
      <w:r>
        <w:t xml:space="preserve">perating </w:t>
      </w:r>
      <w:r w:rsidR="00890AAA">
        <w:t>s</w:t>
      </w:r>
      <w:r>
        <w:t>ystem</w:t>
      </w:r>
    </w:p>
    <w:p w14:paraId="1B1C8631" w14:textId="77777777" w:rsidR="00F81621" w:rsidRDefault="00F81621" w:rsidP="00D62D44">
      <w:pPr>
        <w:pStyle w:val="bullet2"/>
      </w:pPr>
      <w:r>
        <w:t>Tomcat application server</w:t>
      </w:r>
    </w:p>
    <w:p w14:paraId="3054CF3B" w14:textId="77777777" w:rsidR="00F81621" w:rsidRDefault="00F81621" w:rsidP="00D62D44">
      <w:pPr>
        <w:pStyle w:val="bullet2"/>
      </w:pPr>
      <w:r>
        <w:t>MS SQL Server RDBMS</w:t>
      </w:r>
    </w:p>
    <w:p w14:paraId="409EE493" w14:textId="77777777" w:rsidR="00F81621" w:rsidRDefault="00F81621" w:rsidP="00D62D44">
      <w:pPr>
        <w:pStyle w:val="bullet2"/>
      </w:pPr>
      <w:r>
        <w:t>Eclipse IDE</w:t>
      </w:r>
    </w:p>
    <w:p w14:paraId="2AB3A296" w14:textId="3DFA0E51" w:rsidR="00F81621" w:rsidRDefault="00F81621" w:rsidP="00D62D44">
      <w:pPr>
        <w:pStyle w:val="bullet2"/>
      </w:pPr>
      <w:r>
        <w:t xml:space="preserve">Java Server Faces (JSF) and Facelets MVC </w:t>
      </w:r>
      <w:r w:rsidR="00890AAA">
        <w:t>f</w:t>
      </w:r>
      <w:r>
        <w:t>ramework</w:t>
      </w:r>
    </w:p>
    <w:p w14:paraId="48711D66" w14:textId="77777777" w:rsidR="00F81621" w:rsidRDefault="00F81621" w:rsidP="00D62D44">
      <w:pPr>
        <w:pStyle w:val="bullet2"/>
      </w:pPr>
      <w:r>
        <w:t>Confirmation email to clients from ACCESSNebraska system but not from core N-FOCUS system</w:t>
      </w:r>
    </w:p>
    <w:p w14:paraId="3681A1C7" w14:textId="77777777" w:rsidR="00F81621" w:rsidRDefault="00F81621" w:rsidP="00D62D44">
      <w:pPr>
        <w:pStyle w:val="bullet1"/>
      </w:pPr>
      <w:r>
        <w:t>Business Intelligence (</w:t>
      </w:r>
      <w:r w:rsidRPr="00C97925">
        <w:t>BI</w:t>
      </w:r>
      <w:r>
        <w:t>)</w:t>
      </w:r>
      <w:r w:rsidRPr="00C97925">
        <w:t xml:space="preserve"> reporting, dashboards</w:t>
      </w:r>
    </w:p>
    <w:p w14:paraId="26283353" w14:textId="208D6DC3" w:rsidR="00F81621" w:rsidRDefault="00F81621" w:rsidP="00D62D44">
      <w:pPr>
        <w:pStyle w:val="bullet2"/>
      </w:pPr>
      <w:r>
        <w:t>Crystal Reports and Business Objects Enterprise</w:t>
      </w:r>
    </w:p>
    <w:p w14:paraId="6F45BD6F" w14:textId="489E47E2" w:rsidR="00F81621" w:rsidRDefault="00F81621" w:rsidP="00D62D44">
      <w:pPr>
        <w:pStyle w:val="bullet2"/>
      </w:pPr>
      <w:r>
        <w:t xml:space="preserve">Copy of </w:t>
      </w:r>
      <w:r w:rsidR="00324327">
        <w:t>Db2</w:t>
      </w:r>
      <w:r>
        <w:t xml:space="preserve"> data weekly for reportin</w:t>
      </w:r>
      <w:r w:rsidR="00AB0FF1">
        <w:t>g</w:t>
      </w:r>
    </w:p>
    <w:p w14:paraId="618133B3" w14:textId="527E8B79" w:rsidR="00F81621" w:rsidRPr="001073AE" w:rsidRDefault="00F81621" w:rsidP="00D62D44">
      <w:pPr>
        <w:pStyle w:val="bullet2"/>
      </w:pPr>
      <w:r w:rsidRPr="001073AE">
        <w:t xml:space="preserve">Business </w:t>
      </w:r>
      <w:r w:rsidR="00890AAA">
        <w:t>i</w:t>
      </w:r>
      <w:r w:rsidRPr="001073AE">
        <w:t>ntelligence/</w:t>
      </w:r>
      <w:r w:rsidR="00890AAA">
        <w:t>r</w:t>
      </w:r>
      <w:r w:rsidRPr="001073AE">
        <w:t>eporting using</w:t>
      </w:r>
      <w:r>
        <w:t xml:space="preserve"> a</w:t>
      </w:r>
      <w:r w:rsidRPr="001073AE">
        <w:t xml:space="preserve"> </w:t>
      </w:r>
      <w:r>
        <w:t>s</w:t>
      </w:r>
      <w:r w:rsidRPr="001073AE">
        <w:t xml:space="preserve">hadow </w:t>
      </w:r>
      <w:r>
        <w:t>d</w:t>
      </w:r>
      <w:r w:rsidRPr="001073AE">
        <w:t xml:space="preserve">atabase with minimal de-normalization </w:t>
      </w:r>
      <w:r>
        <w:t>(</w:t>
      </w:r>
      <w:r w:rsidRPr="001073AE">
        <w:t>updated on a weekly basis</w:t>
      </w:r>
      <w:r>
        <w:t>)</w:t>
      </w:r>
      <w:r w:rsidRPr="001073AE">
        <w:t>.</w:t>
      </w:r>
    </w:p>
    <w:p w14:paraId="34A934EB" w14:textId="45B97197" w:rsidR="00F81621" w:rsidRDefault="00F81621" w:rsidP="00D62D44">
      <w:pPr>
        <w:pStyle w:val="bullet3"/>
      </w:pPr>
      <w:r>
        <w:t>The effort to move this shadow database to daily has been pursued</w:t>
      </w:r>
      <w:r w:rsidR="00635DDB">
        <w:t xml:space="preserve"> but found to be cost </w:t>
      </w:r>
      <w:r w:rsidR="00771939">
        <w:t xml:space="preserve">prohibitive </w:t>
      </w:r>
      <w:r w:rsidR="00635DDB">
        <w:t>effective without a data warehouse</w:t>
      </w:r>
      <w:r>
        <w:t>.</w:t>
      </w:r>
    </w:p>
    <w:p w14:paraId="5A5FDB82" w14:textId="77777777" w:rsidR="00F81621" w:rsidRDefault="00F81621" w:rsidP="00D62D44">
      <w:pPr>
        <w:pStyle w:val="bullet3"/>
      </w:pPr>
      <w:r>
        <w:t xml:space="preserve">Uses database utilities to maximize efficiency. </w:t>
      </w:r>
    </w:p>
    <w:p w14:paraId="2A74F6A6" w14:textId="77777777" w:rsidR="00F81621" w:rsidRDefault="00F81621" w:rsidP="00D62D44">
      <w:pPr>
        <w:pStyle w:val="bullet3"/>
      </w:pPr>
      <w:r>
        <w:t>No attempt to filter for only current or changed records.</w:t>
      </w:r>
      <w:r w:rsidRPr="00085CAF">
        <w:t xml:space="preserve"> </w:t>
      </w:r>
    </w:p>
    <w:p w14:paraId="642711C6" w14:textId="77777777" w:rsidR="00F81621" w:rsidRDefault="00F81621" w:rsidP="00D62D44">
      <w:pPr>
        <w:pStyle w:val="bullet3"/>
      </w:pPr>
      <w:r>
        <w:t>Most reporting are batch run reports available to users from the Business Object enterprise report server.</w:t>
      </w:r>
    </w:p>
    <w:p w14:paraId="49E1C01B" w14:textId="77777777" w:rsidR="00F81621" w:rsidRDefault="00F81621" w:rsidP="00D62D44">
      <w:pPr>
        <w:pStyle w:val="bullet2"/>
      </w:pPr>
      <w:r>
        <w:t>There is minimal ad hoc reporting available.</w:t>
      </w:r>
    </w:p>
    <w:p w14:paraId="7493AA37" w14:textId="77777777" w:rsidR="00F81621" w:rsidRDefault="00F81621" w:rsidP="00D62D44">
      <w:pPr>
        <w:pStyle w:val="bullet2"/>
      </w:pPr>
      <w:r>
        <w:t>Some reports pushed to web for general access</w:t>
      </w:r>
    </w:p>
    <w:p w14:paraId="5FF5FB16" w14:textId="77777777" w:rsidR="00F81621" w:rsidRDefault="00F81621" w:rsidP="00D62D44">
      <w:pPr>
        <w:pStyle w:val="bullet3"/>
      </w:pPr>
      <w:r>
        <w:t>There is no N-FOCUS data warehouse for trending and forecasting</w:t>
      </w:r>
      <w:r w:rsidRPr="00085CAF">
        <w:t>,</w:t>
      </w:r>
      <w:r>
        <w:t xml:space="preserve"> however N-FOCUS feeds data to the MMIS Data warehouse at Thompson Reuters for trending and forecasting.</w:t>
      </w:r>
    </w:p>
    <w:p w14:paraId="7AAE659D" w14:textId="63B3FE59" w:rsidR="00F81621" w:rsidRDefault="00F81621" w:rsidP="00FC7D2A">
      <w:pPr>
        <w:pStyle w:val="bullet1"/>
      </w:pPr>
      <w:r w:rsidRPr="00C97925">
        <w:t>Data</w:t>
      </w:r>
      <w:r>
        <w:t xml:space="preserve"> </w:t>
      </w:r>
      <w:r w:rsidR="00890AAA">
        <w:t>m</w:t>
      </w:r>
      <w:r>
        <w:t>anagement</w:t>
      </w:r>
    </w:p>
    <w:p w14:paraId="0F7D2416" w14:textId="7E322F1F" w:rsidR="00F81621" w:rsidRDefault="00324327" w:rsidP="00FC7D2A">
      <w:pPr>
        <w:pStyle w:val="bullet2"/>
      </w:pPr>
      <w:r>
        <w:t>Db2</w:t>
      </w:r>
      <w:r w:rsidR="00F81621">
        <w:t xml:space="preserve"> version </w:t>
      </w:r>
      <w:r w:rsidR="00DF7E4A">
        <w:t xml:space="preserve">12 </w:t>
      </w:r>
      <w:r w:rsidR="00F81621">
        <w:t xml:space="preserve">on </w:t>
      </w:r>
      <w:r>
        <w:t>z/OS</w:t>
      </w:r>
    </w:p>
    <w:p w14:paraId="4EDE10C5" w14:textId="6646A55B" w:rsidR="00F81621" w:rsidRDefault="00F81621" w:rsidP="00FC7D2A">
      <w:pPr>
        <w:pStyle w:val="bullet2"/>
      </w:pPr>
      <w:r>
        <w:t xml:space="preserve">Over </w:t>
      </w:r>
      <w:r w:rsidR="00934D9A">
        <w:t>6</w:t>
      </w:r>
      <w:r>
        <w:t>50 tables (300+ tables are code tables that are copied to local file servers for screen edit support).</w:t>
      </w:r>
    </w:p>
    <w:p w14:paraId="383638EC" w14:textId="77777777" w:rsidR="00F81621" w:rsidRDefault="00F81621" w:rsidP="00FC7D2A">
      <w:pPr>
        <w:pStyle w:val="bullet2"/>
      </w:pPr>
      <w:r>
        <w:t xml:space="preserve">Large portions of this data are copied weekly to a shadow database for reporting purposes. </w:t>
      </w:r>
    </w:p>
    <w:p w14:paraId="13328A08" w14:textId="44D0947B" w:rsidR="00F81621" w:rsidRDefault="00F81621" w:rsidP="00FC7D2A">
      <w:pPr>
        <w:pStyle w:val="bullet2"/>
      </w:pPr>
      <w:r w:rsidRPr="00C97925">
        <w:t>Access</w:t>
      </w:r>
      <w:r>
        <w:t xml:space="preserve"> to</w:t>
      </w:r>
      <w:r w:rsidRPr="00C97925">
        <w:t xml:space="preserve"> </w:t>
      </w:r>
      <w:r w:rsidR="00324327">
        <w:t>Db2</w:t>
      </w:r>
      <w:r w:rsidRPr="00C97925">
        <w:t xml:space="preserve"> </w:t>
      </w:r>
      <w:r>
        <w:t>via CICS transaction monitor</w:t>
      </w:r>
    </w:p>
    <w:p w14:paraId="14E615A6" w14:textId="77777777" w:rsidR="00F81621" w:rsidRDefault="00F81621" w:rsidP="00FC7D2A">
      <w:pPr>
        <w:pStyle w:val="bullet2"/>
      </w:pPr>
      <w:r>
        <w:t>Some data are kept in MS SQL Server RDBMS for content indexes and working data on web servers.</w:t>
      </w:r>
    </w:p>
    <w:p w14:paraId="59D93262" w14:textId="77777777" w:rsidR="00F81621" w:rsidRDefault="00F81621" w:rsidP="00FC7D2A">
      <w:pPr>
        <w:pStyle w:val="bullet2"/>
      </w:pPr>
      <w:r>
        <w:t>There is no archive or sunset policy applied to N-FOCUS consistently leading to constant data storage growth. Archive capabilities are available and used on parts of N-FOCUS</w:t>
      </w:r>
    </w:p>
    <w:p w14:paraId="7C6EB277" w14:textId="6ABCEA37" w:rsidR="00F81621" w:rsidRDefault="00AC6930" w:rsidP="00FC7D2A">
      <w:pPr>
        <w:pStyle w:val="bullet2"/>
      </w:pPr>
      <w:r>
        <w:t>785</w:t>
      </w:r>
      <w:r w:rsidRPr="00B63C6A">
        <w:t xml:space="preserve"> </w:t>
      </w:r>
      <w:r w:rsidR="00F81621" w:rsidRPr="00B63C6A">
        <w:t xml:space="preserve">relationships </w:t>
      </w:r>
      <w:r>
        <w:t>1278</w:t>
      </w:r>
      <w:r w:rsidRPr="00B63C6A">
        <w:t xml:space="preserve"> </w:t>
      </w:r>
      <w:r w:rsidR="00F81621" w:rsidRPr="00B63C6A">
        <w:t>in</w:t>
      </w:r>
      <w:r w:rsidR="00F81621">
        <w:t>d</w:t>
      </w:r>
      <w:r w:rsidR="00890AAA">
        <w:t>ic</w:t>
      </w:r>
      <w:r w:rsidR="00F81621">
        <w:t xml:space="preserve">es, </w:t>
      </w:r>
      <w:r>
        <w:t xml:space="preserve">9665 </w:t>
      </w:r>
      <w:r w:rsidR="00F81621">
        <w:t>attributes(columns)</w:t>
      </w:r>
    </w:p>
    <w:p w14:paraId="3DC16968" w14:textId="77777777" w:rsidR="00F81621" w:rsidRDefault="00F81621" w:rsidP="00FC7D2A">
      <w:pPr>
        <w:pStyle w:val="bullet2"/>
      </w:pPr>
      <w:r w:rsidRPr="00B63C6A">
        <w:t>1.6 Billion rows</w:t>
      </w:r>
      <w:r>
        <w:t xml:space="preserve"> of</w:t>
      </w:r>
      <w:r w:rsidRPr="00B63C6A">
        <w:t xml:space="preserve"> data, largest table 206 million rows</w:t>
      </w:r>
    </w:p>
    <w:p w14:paraId="3FF57D18" w14:textId="7264BE73" w:rsidR="00F81621" w:rsidRDefault="00F81621" w:rsidP="00FC7D2A">
      <w:pPr>
        <w:pStyle w:val="bullet1"/>
      </w:pPr>
      <w:r w:rsidRPr="00C97925">
        <w:t xml:space="preserve">Business </w:t>
      </w:r>
      <w:r w:rsidR="00890AAA">
        <w:t>r</w:t>
      </w:r>
      <w:r w:rsidRPr="00C97925">
        <w:t xml:space="preserve">ules </w:t>
      </w:r>
      <w:r w:rsidR="00890AAA">
        <w:t>e</w:t>
      </w:r>
      <w:r w:rsidRPr="00C97925">
        <w:t>ngine</w:t>
      </w:r>
    </w:p>
    <w:p w14:paraId="47CCD20B" w14:textId="62276C67" w:rsidR="00F81621" w:rsidRDefault="00F81621" w:rsidP="00FC7D2A">
      <w:pPr>
        <w:pStyle w:val="bullet2"/>
      </w:pPr>
      <w:r>
        <w:t>AION Rules Engine</w:t>
      </w:r>
      <w:r w:rsidR="00890AAA">
        <w:t xml:space="preserve"> – </w:t>
      </w:r>
      <w:r>
        <w:t xml:space="preserve">Used in limited functionality and not implemented properly to enable fully automates application of benefits eligibility rules </w:t>
      </w:r>
    </w:p>
    <w:p w14:paraId="17A2BF0C" w14:textId="77777777" w:rsidR="00F81621" w:rsidRDefault="00F81621" w:rsidP="00FC7D2A">
      <w:pPr>
        <w:pStyle w:val="bullet2"/>
      </w:pPr>
      <w:r>
        <w:t>This technology component is considered high risk due to limited market reach for this tool and insufficient continued investment by Broadcom</w:t>
      </w:r>
    </w:p>
    <w:p w14:paraId="5987FB09" w14:textId="6BEACCB5" w:rsidR="00F81621" w:rsidRDefault="00F81621" w:rsidP="00FC7D2A">
      <w:pPr>
        <w:pStyle w:val="bullet1"/>
      </w:pPr>
      <w:r w:rsidRPr="00C97925">
        <w:t xml:space="preserve">Content </w:t>
      </w:r>
      <w:r w:rsidR="00890AAA">
        <w:t>m</w:t>
      </w:r>
      <w:r w:rsidRPr="00C97925">
        <w:t>anagement</w:t>
      </w:r>
    </w:p>
    <w:p w14:paraId="50B673A4" w14:textId="77777777" w:rsidR="00F81621" w:rsidRDefault="00F81621" w:rsidP="00FC7D2A">
      <w:pPr>
        <w:pStyle w:val="bullet2"/>
      </w:pPr>
      <w:r>
        <w:t>Currently, content is stored in a FileDirector document management environment</w:t>
      </w:r>
    </w:p>
    <w:p w14:paraId="027F3F96" w14:textId="77777777" w:rsidR="00F81621" w:rsidRDefault="00F81621" w:rsidP="00FC7D2A">
      <w:pPr>
        <w:pStyle w:val="bullet2"/>
      </w:pPr>
      <w:r>
        <w:t xml:space="preserve">Currently, most content is incoming documents that are scanned and tagged. </w:t>
      </w:r>
    </w:p>
    <w:p w14:paraId="66B70B45" w14:textId="24094B16" w:rsidR="00F81621" w:rsidRDefault="00F81621" w:rsidP="00FC7D2A">
      <w:pPr>
        <w:pStyle w:val="bullet2"/>
      </w:pPr>
      <w:r>
        <w:t xml:space="preserve">Internal and outgoing documents are captured and stored in the N-FOCUS </w:t>
      </w:r>
      <w:r w:rsidR="00890AAA">
        <w:t>d</w:t>
      </w:r>
      <w:r>
        <w:t>atabase correspondence system</w:t>
      </w:r>
      <w:r w:rsidR="00890AAA">
        <w:t>.</w:t>
      </w:r>
    </w:p>
    <w:p w14:paraId="17385599" w14:textId="77777777" w:rsidR="00F81621" w:rsidRDefault="00F81621" w:rsidP="00FC7D2A">
      <w:pPr>
        <w:pStyle w:val="bullet2"/>
      </w:pPr>
      <w:r>
        <w:t>SharePoint is used primarily as a document repository for development team support and user instructions.</w:t>
      </w:r>
    </w:p>
    <w:p w14:paraId="67389EE7" w14:textId="77777777" w:rsidR="00F81621" w:rsidRDefault="00F81621" w:rsidP="00FC7D2A">
      <w:pPr>
        <w:pStyle w:val="bullet1"/>
      </w:pPr>
      <w:r w:rsidRPr="00C97925">
        <w:t>Access technologies</w:t>
      </w:r>
    </w:p>
    <w:p w14:paraId="0234F956" w14:textId="77777777" w:rsidR="00F81621" w:rsidRDefault="00F81621" w:rsidP="00FC7D2A">
      <w:pPr>
        <w:pStyle w:val="bullet2"/>
      </w:pPr>
      <w:r>
        <w:t xml:space="preserve">Remote </w:t>
      </w:r>
      <w:r w:rsidRPr="0013009B">
        <w:t>A</w:t>
      </w:r>
      <w:r>
        <w:t>ccess by personnel and contractors is enabled by using CITRIX.</w:t>
      </w:r>
    </w:p>
    <w:p w14:paraId="454DFD8E" w14:textId="77777777" w:rsidR="00F81621" w:rsidRDefault="00F81621" w:rsidP="00FC7D2A">
      <w:pPr>
        <w:pStyle w:val="bullet2"/>
      </w:pPr>
      <w:r w:rsidRPr="0013009B">
        <w:t>Web</w:t>
      </w:r>
      <w:r>
        <w:t>-based consumer</w:t>
      </w:r>
      <w:r w:rsidRPr="0013009B">
        <w:t xml:space="preserve"> access </w:t>
      </w:r>
      <w:r>
        <w:t xml:space="preserve">has </w:t>
      </w:r>
      <w:r w:rsidRPr="0013009B">
        <w:t>limited</w:t>
      </w:r>
      <w:r>
        <w:t xml:space="preserve"> functionality for capture of benefits application</w:t>
      </w:r>
    </w:p>
    <w:p w14:paraId="5C051BF6" w14:textId="77777777" w:rsidR="00F81621" w:rsidRDefault="00F81621" w:rsidP="00FC7D2A">
      <w:pPr>
        <w:pStyle w:val="bullet2"/>
      </w:pPr>
      <w:r w:rsidRPr="0013009B">
        <w:t xml:space="preserve">Agency Desktop users access </w:t>
      </w:r>
      <w:r>
        <w:t xml:space="preserve">the system </w:t>
      </w:r>
      <w:r w:rsidRPr="0013009B">
        <w:t>direct</w:t>
      </w:r>
      <w:r>
        <w:t>ly</w:t>
      </w:r>
      <w:r w:rsidRPr="0013009B">
        <w:t xml:space="preserve"> via </w:t>
      </w:r>
      <w:r>
        <w:t xml:space="preserve">the state </w:t>
      </w:r>
      <w:r w:rsidRPr="0013009B">
        <w:t>network</w:t>
      </w:r>
      <w:r>
        <w:t>.</w:t>
      </w:r>
    </w:p>
    <w:p w14:paraId="4B0E8203" w14:textId="658F8C26" w:rsidR="00F81621" w:rsidRDefault="00F81621" w:rsidP="00FC7D2A">
      <w:pPr>
        <w:pStyle w:val="bullet2"/>
      </w:pPr>
      <w:r w:rsidRPr="0013009B">
        <w:t xml:space="preserve">Call in clients use </w:t>
      </w:r>
      <w:r w:rsidR="00890AAA">
        <w:t>interactive voice recognition (</w:t>
      </w:r>
      <w:r w:rsidRPr="0013009B">
        <w:t>IVR</w:t>
      </w:r>
      <w:r w:rsidR="00890AAA">
        <w:t>)</w:t>
      </w:r>
      <w:r w:rsidRPr="0013009B">
        <w:t xml:space="preserve"> which is connected to </w:t>
      </w:r>
      <w:r>
        <w:t>N-FOCUS for client information popup</w:t>
      </w:r>
    </w:p>
    <w:p w14:paraId="069E782C" w14:textId="77777777" w:rsidR="00F81621" w:rsidRPr="009D6305" w:rsidRDefault="00F81621" w:rsidP="00FC7D2A">
      <w:pPr>
        <w:pStyle w:val="bullet2"/>
      </w:pPr>
      <w:r w:rsidRPr="00A80A4F">
        <w:t>Change/Build</w:t>
      </w:r>
      <w:r>
        <w:t>/Release</w:t>
      </w:r>
      <w:r w:rsidRPr="00A80A4F">
        <w:t xml:space="preserve"> </w:t>
      </w:r>
      <w:r>
        <w:t>processes and f</w:t>
      </w:r>
      <w:r w:rsidRPr="00A80A4F">
        <w:t>requency a</w:t>
      </w:r>
      <w:r>
        <w:t>re</w:t>
      </w:r>
      <w:r w:rsidRPr="00A80A4F">
        <w:t xml:space="preserve"> </w:t>
      </w:r>
      <w:r>
        <w:t>w</w:t>
      </w:r>
      <w:r w:rsidRPr="00A80A4F">
        <w:t>ell</w:t>
      </w:r>
      <w:r>
        <w:t>-m</w:t>
      </w:r>
      <w:r w:rsidRPr="00A80A4F">
        <w:t xml:space="preserve">anaged </w:t>
      </w:r>
      <w:r>
        <w:t>and are u</w:t>
      </w:r>
      <w:r w:rsidRPr="009D6305">
        <w:t>sually on a 3 cycles per year schedule</w:t>
      </w:r>
    </w:p>
    <w:p w14:paraId="0874E39D" w14:textId="77777777" w:rsidR="00F81621" w:rsidRDefault="00F81621" w:rsidP="00FC7D2A">
      <w:pPr>
        <w:pStyle w:val="bullet2"/>
      </w:pPr>
      <w:r w:rsidRPr="00A80A4F">
        <w:t xml:space="preserve">Near-real-time nature of all transactions for programs within </w:t>
      </w:r>
      <w:r>
        <w:t>N-FOCUS</w:t>
      </w:r>
      <w:r w:rsidRPr="00A80A4F">
        <w:t xml:space="preserve"> (very little batch or overnight processing required for key business functionality)</w:t>
      </w:r>
      <w:r>
        <w:t>.</w:t>
      </w:r>
    </w:p>
    <w:p w14:paraId="074CB749" w14:textId="5DA80974" w:rsidR="00F81621" w:rsidRDefault="00F81621" w:rsidP="00FC7D2A">
      <w:pPr>
        <w:pStyle w:val="bullet2"/>
      </w:pPr>
      <w:r>
        <w:t xml:space="preserve">Highly integrated data and functionality across most HHS </w:t>
      </w:r>
      <w:r w:rsidR="00890AAA">
        <w:t>p</w:t>
      </w:r>
      <w:r>
        <w:t>rograms</w:t>
      </w:r>
    </w:p>
    <w:p w14:paraId="2520164E" w14:textId="3CD67308" w:rsidR="00F81621" w:rsidRPr="00FA599F" w:rsidRDefault="00F81621" w:rsidP="00FC7D2A">
      <w:pPr>
        <w:pStyle w:val="bullet3"/>
      </w:pPr>
      <w:r w:rsidRPr="00FA599F">
        <w:t>Separating out any sub-part of this system wi</w:t>
      </w:r>
      <w:r>
        <w:t>thout appropriate integration can</w:t>
      </w:r>
      <w:r w:rsidRPr="00FA599F">
        <w:t xml:space="preserve"> potentially negatively impact workers.</w:t>
      </w:r>
      <w:r w:rsidR="00B83EBC">
        <w:t xml:space="preserve"> </w:t>
      </w:r>
      <w:r w:rsidRPr="00FA599F">
        <w:t>For example, splitting out the eligibility determination to support HHS</w:t>
      </w:r>
      <w:r>
        <w:t xml:space="preserve"> and</w:t>
      </w:r>
      <w:r w:rsidRPr="00FA599F">
        <w:t xml:space="preserve"> </w:t>
      </w:r>
      <w:r w:rsidR="00890AAA" w:rsidRPr="00890AAA">
        <w:t xml:space="preserve">Comprehensive Child Welfare Information System (CCWIS) </w:t>
      </w:r>
      <w:r>
        <w:t xml:space="preserve">functionality </w:t>
      </w:r>
      <w:r w:rsidRPr="00FA599F">
        <w:t>is conceivable but will remove functionality that is working and effective today</w:t>
      </w:r>
      <w:r>
        <w:t xml:space="preserve"> without appropriate levels of integration between the new and the existing environment</w:t>
      </w:r>
    </w:p>
    <w:p w14:paraId="56482AC5" w14:textId="639082DD" w:rsidR="00F81621" w:rsidRPr="00FA599F" w:rsidRDefault="00F81621" w:rsidP="00FC7D2A">
      <w:pPr>
        <w:pStyle w:val="bullet3"/>
      </w:pPr>
      <w:r w:rsidRPr="00FA599F">
        <w:t>Common</w:t>
      </w:r>
      <w:r>
        <w:t xml:space="preserve"> functions and data leveraged across </w:t>
      </w:r>
      <w:r w:rsidR="00890AAA">
        <w:t>p</w:t>
      </w:r>
      <w:r>
        <w:t>rograms</w:t>
      </w:r>
      <w:r w:rsidRPr="00FA599F">
        <w:t>.</w:t>
      </w:r>
    </w:p>
    <w:p w14:paraId="299DB710" w14:textId="77777777" w:rsidR="00F81621" w:rsidRPr="00DC1D02" w:rsidRDefault="00F81621" w:rsidP="00AE02B8">
      <w:pPr>
        <w:pStyle w:val="Heading3"/>
      </w:pPr>
      <w:bookmarkStart w:id="5" w:name="_Toc51661993"/>
      <w:r w:rsidRPr="00DC1D02">
        <w:t xml:space="preserve">Current Data/Information </w:t>
      </w:r>
      <w:r w:rsidRPr="009D0DB1">
        <w:t>Architecture</w:t>
      </w:r>
      <w:bookmarkEnd w:id="5"/>
    </w:p>
    <w:p w14:paraId="22849F14" w14:textId="12661790" w:rsidR="00F81621" w:rsidRDefault="00F81621" w:rsidP="00F81621">
      <w:r w:rsidRPr="005123E7">
        <w:t xml:space="preserve">The core data model for N-FOCUS contains the basic structure for </w:t>
      </w:r>
      <w:r w:rsidR="00890AAA">
        <w:t>DHHS p</w:t>
      </w:r>
      <w:r>
        <w:t xml:space="preserve">rogram </w:t>
      </w:r>
      <w:r w:rsidRPr="005123E7">
        <w:t>support.</w:t>
      </w:r>
      <w:r w:rsidR="00B83EBC">
        <w:t xml:space="preserve"> </w:t>
      </w:r>
      <w:r w:rsidRPr="005123E7">
        <w:t>Since N-FOCUS supports as many as 30 different programs, the program management part is essentially the view that drives performance and budgetary decisions. The system was established with a household view for case management. This flexible model allows for persons to be involved in multiple households, families, and cases.</w:t>
      </w:r>
      <w:r w:rsidR="00B83EBC">
        <w:t xml:space="preserve"> </w:t>
      </w:r>
      <w:r w:rsidRPr="005123E7">
        <w:t>The core/shared subject areas are used across all programs. In this shared model, (for example) an address change or family addition “known” to one DHHS program can be “known” to the benefit of all DHHS programs, or the birth or death records verified by one program can be pre-validated by other programs. Sharing of income records by person and family eases the discovery process.</w:t>
      </w:r>
    </w:p>
    <w:p w14:paraId="54D799EE" w14:textId="39F94335" w:rsidR="00F81621" w:rsidRPr="009A6B86" w:rsidRDefault="00F81621" w:rsidP="00890AAA">
      <w:pPr>
        <w:pStyle w:val="FigureNumberedList"/>
      </w:pPr>
      <w:r w:rsidRPr="009A6B86">
        <w:t>Core Data Model</w:t>
      </w:r>
    </w:p>
    <w:p w14:paraId="6E392D3A" w14:textId="6C7241D4" w:rsidR="00F81621" w:rsidRDefault="008279D3" w:rsidP="00F81621">
      <w:pPr>
        <w:jc w:val="center"/>
      </w:pPr>
      <w:r>
        <w:object w:dxaOrig="13846" w:dyaOrig="8265" w14:anchorId="79B4B124">
          <v:shape id="_x0000_i1026" type="#_x0000_t75" style="width:468pt;height:279.15pt" o:ole="">
            <v:imagedata r:id="rId15" o:title=""/>
          </v:shape>
          <o:OLEObject Type="Embed" ProgID="Visio.Drawing.15" ShapeID="_x0000_i1026" DrawAspect="Content" ObjectID="_1666766168" r:id="rId16"/>
        </w:object>
      </w:r>
    </w:p>
    <w:p w14:paraId="22890E3F" w14:textId="77777777" w:rsidR="00F81621" w:rsidRDefault="00F81621" w:rsidP="00AE02B8">
      <w:pPr>
        <w:pStyle w:val="Heading3"/>
      </w:pPr>
      <w:bookmarkStart w:id="6" w:name="_Toc51661994"/>
      <w:r>
        <w:t xml:space="preserve">Core Technical Challenges and </w:t>
      </w:r>
      <w:r w:rsidRPr="002244FB">
        <w:t>Considerations</w:t>
      </w:r>
      <w:r>
        <w:t xml:space="preserve"> for Modernization Planning</w:t>
      </w:r>
      <w:bookmarkEnd w:id="6"/>
    </w:p>
    <w:p w14:paraId="7CD13809" w14:textId="0EE71C9E" w:rsidR="00F81621" w:rsidRPr="006C07C3" w:rsidRDefault="00F81621" w:rsidP="006C07C3">
      <w:pPr>
        <w:rPr>
          <w:rFonts w:eastAsiaTheme="minorHAnsi"/>
        </w:rPr>
      </w:pPr>
      <w:r>
        <w:rPr>
          <w:rFonts w:eastAsiaTheme="minorHAnsi"/>
        </w:rPr>
        <w:t>Barriers inherent within</w:t>
      </w:r>
      <w:r w:rsidRPr="00081492">
        <w:rPr>
          <w:rFonts w:eastAsiaTheme="minorHAnsi"/>
        </w:rPr>
        <w:t xml:space="preserve"> </w:t>
      </w:r>
      <w:r w:rsidR="00502A47">
        <w:rPr>
          <w:rFonts w:eastAsiaTheme="minorHAnsi"/>
        </w:rPr>
        <w:t xml:space="preserve">the </w:t>
      </w:r>
      <w:r w:rsidRPr="00081492">
        <w:rPr>
          <w:rFonts w:eastAsiaTheme="minorHAnsi"/>
        </w:rPr>
        <w:t xml:space="preserve">existing architecture of </w:t>
      </w:r>
      <w:r>
        <w:rPr>
          <w:rFonts w:eastAsiaTheme="minorHAnsi"/>
        </w:rPr>
        <w:t>N-FOCUS</w:t>
      </w:r>
      <w:r w:rsidRPr="00081492">
        <w:rPr>
          <w:rFonts w:eastAsiaTheme="minorHAnsi"/>
        </w:rPr>
        <w:t xml:space="preserve"> </w:t>
      </w:r>
      <w:r>
        <w:rPr>
          <w:rFonts w:eastAsiaTheme="minorHAnsi"/>
        </w:rPr>
        <w:t>include, but are not limited to:</w:t>
      </w:r>
    </w:p>
    <w:p w14:paraId="015FB9DE" w14:textId="77777777" w:rsidR="00F81621" w:rsidRPr="00081492" w:rsidRDefault="00F81621" w:rsidP="006C07C3">
      <w:pPr>
        <w:pStyle w:val="bullet1"/>
        <w:rPr>
          <w:rFonts w:eastAsiaTheme="minorHAnsi"/>
        </w:rPr>
      </w:pPr>
      <w:r w:rsidRPr="00081492">
        <w:rPr>
          <w:rFonts w:eastAsiaTheme="minorHAnsi"/>
        </w:rPr>
        <w:t>There is no formal “control” layer to act as an intermediary between the graphical user interface (GUI) layer and the data layer to</w:t>
      </w:r>
      <w:r>
        <w:rPr>
          <w:rFonts w:eastAsiaTheme="minorHAnsi"/>
        </w:rPr>
        <w:t xml:space="preserve"> provide notifications</w:t>
      </w:r>
      <w:r w:rsidRPr="00081492">
        <w:rPr>
          <w:rFonts w:eastAsiaTheme="minorHAnsi"/>
        </w:rPr>
        <w:t xml:space="preserve"> about changes to the data/views. Rather, the GUI layer incorporates this logic, which results in a tight coupling between business rules, user interface logic, and data. This tight coupling reduces flexibility and impairs the ability to alter business rules and data structures due to the needs of changing law, regulation and policy. </w:t>
      </w:r>
    </w:p>
    <w:p w14:paraId="506A3238" w14:textId="77777777" w:rsidR="00F81621" w:rsidRPr="00081492" w:rsidRDefault="00F81621" w:rsidP="006C07C3">
      <w:pPr>
        <w:pStyle w:val="bullet1"/>
        <w:rPr>
          <w:rFonts w:eastAsiaTheme="minorHAnsi"/>
        </w:rPr>
      </w:pPr>
      <w:r w:rsidRPr="00081492">
        <w:rPr>
          <w:rFonts w:eastAsiaTheme="minorHAnsi"/>
        </w:rPr>
        <w:t xml:space="preserve">Each business process is mapped to a long series of transactions which are executed either in parallel or sequentially as individual transactions. No true system management of business processes is possible in such an environment. In the </w:t>
      </w:r>
      <w:r>
        <w:rPr>
          <w:rFonts w:eastAsiaTheme="minorHAnsi"/>
        </w:rPr>
        <w:t>N-FOCUS</w:t>
      </w:r>
      <w:r w:rsidRPr="00081492">
        <w:rPr>
          <w:rFonts w:eastAsiaTheme="minorHAnsi"/>
        </w:rPr>
        <w:t xml:space="preserve"> architecture, a transaction may also encompass many business processes, which </w:t>
      </w:r>
      <w:r>
        <w:rPr>
          <w:rFonts w:eastAsiaTheme="minorHAnsi"/>
        </w:rPr>
        <w:t>results</w:t>
      </w:r>
      <w:r w:rsidRPr="00081492">
        <w:rPr>
          <w:rFonts w:eastAsiaTheme="minorHAnsi"/>
        </w:rPr>
        <w:t xml:space="preserve"> in application</w:t>
      </w:r>
      <w:r>
        <w:rPr>
          <w:rFonts w:eastAsiaTheme="minorHAnsi"/>
        </w:rPr>
        <w:t xml:space="preserve"> </w:t>
      </w:r>
      <w:r w:rsidRPr="00081492">
        <w:rPr>
          <w:rFonts w:eastAsiaTheme="minorHAnsi"/>
        </w:rPr>
        <w:t xml:space="preserve">code interdependencies that limit the ability to easily support business and program changes. </w:t>
      </w:r>
    </w:p>
    <w:p w14:paraId="15156D82" w14:textId="77777777" w:rsidR="00F81621" w:rsidRPr="00081492" w:rsidRDefault="00F81621" w:rsidP="006C07C3">
      <w:pPr>
        <w:pStyle w:val="bullet1"/>
        <w:rPr>
          <w:rFonts w:eastAsiaTheme="minorHAnsi"/>
        </w:rPr>
      </w:pPr>
      <w:r w:rsidRPr="00081492">
        <w:rPr>
          <w:rFonts w:eastAsiaTheme="minorHAnsi"/>
        </w:rPr>
        <w:t xml:space="preserve">No clear separation exists between business and user-interface logic on the workstation. This constraint limits the ability to customize the software to </w:t>
      </w:r>
      <w:r w:rsidR="00890AAA">
        <w:rPr>
          <w:rFonts w:eastAsiaTheme="minorHAnsi"/>
        </w:rPr>
        <w:t>P</w:t>
      </w:r>
      <w:r w:rsidRPr="00081492">
        <w:rPr>
          <w:rFonts w:eastAsiaTheme="minorHAnsi"/>
        </w:rPr>
        <w:t xml:space="preserve">artner-specific requirements. </w:t>
      </w:r>
    </w:p>
    <w:p w14:paraId="7216C706" w14:textId="77777777" w:rsidR="00F81621" w:rsidRPr="00081492" w:rsidRDefault="00F81621" w:rsidP="006C07C3">
      <w:pPr>
        <w:pStyle w:val="bullet1"/>
        <w:rPr>
          <w:rFonts w:eastAsiaTheme="minorHAnsi"/>
        </w:rPr>
      </w:pPr>
      <w:r w:rsidRPr="00081492">
        <w:rPr>
          <w:rFonts w:eastAsiaTheme="minorHAnsi"/>
        </w:rPr>
        <w:t xml:space="preserve">The existing design accesses all the case data at the workstation and does not make this information accessible outside the workstation (such as via </w:t>
      </w:r>
      <w:r>
        <w:rPr>
          <w:rFonts w:eastAsiaTheme="minorHAnsi"/>
        </w:rPr>
        <w:t>mobil</w:t>
      </w:r>
      <w:r w:rsidRPr="00081492">
        <w:rPr>
          <w:rFonts w:eastAsiaTheme="minorHAnsi"/>
        </w:rPr>
        <w:t xml:space="preserve">e devices). With this design, information cannot be made available anywhere, anytime. </w:t>
      </w:r>
    </w:p>
    <w:p w14:paraId="6EDE3739" w14:textId="3C029112" w:rsidR="00F81621" w:rsidRPr="00081492" w:rsidRDefault="00F81621" w:rsidP="006C07C3">
      <w:pPr>
        <w:pStyle w:val="bullet1"/>
        <w:rPr>
          <w:rFonts w:eastAsiaTheme="minorHAnsi"/>
        </w:rPr>
      </w:pPr>
      <w:r>
        <w:rPr>
          <w:rFonts w:eastAsiaTheme="minorHAnsi"/>
        </w:rPr>
        <w:t>N-FOCUS</w:t>
      </w:r>
      <w:r w:rsidRPr="00081492">
        <w:rPr>
          <w:rFonts w:eastAsiaTheme="minorHAnsi"/>
        </w:rPr>
        <w:t xml:space="preserve"> uses a</w:t>
      </w:r>
      <w:r>
        <w:rPr>
          <w:rFonts w:eastAsiaTheme="minorHAnsi"/>
        </w:rPr>
        <w:t>n</w:t>
      </w:r>
      <w:r w:rsidRPr="00081492">
        <w:rPr>
          <w:rFonts w:eastAsiaTheme="minorHAnsi"/>
        </w:rPr>
        <w:t xml:space="preserve"> approach</w:t>
      </w:r>
      <w:r>
        <w:rPr>
          <w:rFonts w:eastAsiaTheme="minorHAnsi"/>
        </w:rPr>
        <w:t xml:space="preserve"> to</w:t>
      </w:r>
      <w:r w:rsidRPr="00081492">
        <w:rPr>
          <w:rFonts w:eastAsiaTheme="minorHAnsi"/>
        </w:rPr>
        <w:t xml:space="preserve"> business rules that </w:t>
      </w:r>
      <w:r>
        <w:rPr>
          <w:rFonts w:eastAsiaTheme="minorHAnsi"/>
        </w:rPr>
        <w:t>limits</w:t>
      </w:r>
      <w:r w:rsidRPr="00081492">
        <w:rPr>
          <w:rFonts w:eastAsiaTheme="minorHAnsi"/>
        </w:rPr>
        <w:t xml:space="preserve"> support of any strategy involving moving some core business logic to other platforms like web or mobile devices</w:t>
      </w:r>
      <w:r w:rsidR="00093346">
        <w:rPr>
          <w:rFonts w:eastAsiaTheme="minorHAnsi"/>
        </w:rPr>
        <w:t>.</w:t>
      </w:r>
    </w:p>
    <w:p w14:paraId="5DF98442" w14:textId="08D63F87" w:rsidR="00F81621" w:rsidRPr="00081492" w:rsidRDefault="00F81621" w:rsidP="006C07C3">
      <w:pPr>
        <w:pStyle w:val="bullet1"/>
        <w:rPr>
          <w:rFonts w:eastAsiaTheme="minorHAnsi"/>
        </w:rPr>
      </w:pPr>
      <w:r>
        <w:rPr>
          <w:rFonts w:eastAsiaTheme="minorHAnsi"/>
        </w:rPr>
        <w:t>N-FOCUS</w:t>
      </w:r>
      <w:r w:rsidRPr="00081492">
        <w:rPr>
          <w:rFonts w:eastAsiaTheme="minorHAnsi"/>
        </w:rPr>
        <w:t xml:space="preserve"> uses a code generation product </w:t>
      </w:r>
      <w:r w:rsidR="00324327">
        <w:rPr>
          <w:rFonts w:eastAsiaTheme="minorHAnsi"/>
        </w:rPr>
        <w:t>toolset</w:t>
      </w:r>
      <w:r>
        <w:rPr>
          <w:rFonts w:eastAsiaTheme="minorHAnsi"/>
        </w:rPr>
        <w:t xml:space="preserve"> (CA Gen)</w:t>
      </w:r>
      <w:r w:rsidRPr="00081492">
        <w:rPr>
          <w:rFonts w:eastAsiaTheme="minorHAnsi"/>
        </w:rPr>
        <w:t xml:space="preserve"> that</w:t>
      </w:r>
      <w:r>
        <w:rPr>
          <w:rFonts w:eastAsiaTheme="minorHAnsi"/>
        </w:rPr>
        <w:t>,</w:t>
      </w:r>
      <w:r w:rsidRPr="00081492">
        <w:rPr>
          <w:rFonts w:eastAsiaTheme="minorHAnsi"/>
        </w:rPr>
        <w:t xml:space="preserve"> while capable</w:t>
      </w:r>
      <w:r>
        <w:rPr>
          <w:rFonts w:eastAsiaTheme="minorHAnsi"/>
        </w:rPr>
        <w:t>,</w:t>
      </w:r>
      <w:r w:rsidRPr="00081492">
        <w:rPr>
          <w:rFonts w:eastAsiaTheme="minorHAnsi"/>
        </w:rPr>
        <w:t xml:space="preserve"> has been deployed in such a way that business logic is spread between </w:t>
      </w:r>
      <w:r w:rsidR="00324327">
        <w:rPr>
          <w:rFonts w:eastAsiaTheme="minorHAnsi"/>
        </w:rPr>
        <w:t>Db2</w:t>
      </w:r>
      <w:r w:rsidRPr="00081492">
        <w:rPr>
          <w:rFonts w:eastAsiaTheme="minorHAnsi"/>
        </w:rPr>
        <w:t xml:space="preserve"> stored procedures, CICS access transactions</w:t>
      </w:r>
      <w:r>
        <w:rPr>
          <w:rFonts w:eastAsiaTheme="minorHAnsi"/>
        </w:rPr>
        <w:t>,</w:t>
      </w:r>
      <w:r w:rsidRPr="00081492">
        <w:rPr>
          <w:rFonts w:eastAsiaTheme="minorHAnsi"/>
        </w:rPr>
        <w:t xml:space="preserve"> and </w:t>
      </w:r>
      <w:r>
        <w:rPr>
          <w:rFonts w:eastAsiaTheme="minorHAnsi"/>
        </w:rPr>
        <w:t>c</w:t>
      </w:r>
      <w:r w:rsidRPr="00081492">
        <w:rPr>
          <w:rFonts w:eastAsiaTheme="minorHAnsi"/>
        </w:rPr>
        <w:t>lient code running on workstations. The distribution of logic makes updates very time consuming and labor intensive to build</w:t>
      </w:r>
      <w:r>
        <w:rPr>
          <w:rFonts w:eastAsiaTheme="minorHAnsi"/>
        </w:rPr>
        <w:t>,</w:t>
      </w:r>
      <w:r w:rsidRPr="00081492">
        <w:rPr>
          <w:rFonts w:eastAsiaTheme="minorHAnsi"/>
        </w:rPr>
        <w:t xml:space="preserve"> verify, test</w:t>
      </w:r>
      <w:r>
        <w:rPr>
          <w:rFonts w:eastAsiaTheme="minorHAnsi"/>
        </w:rPr>
        <w:t>,</w:t>
      </w:r>
      <w:r w:rsidRPr="00081492">
        <w:rPr>
          <w:rFonts w:eastAsiaTheme="minorHAnsi"/>
        </w:rPr>
        <w:t xml:space="preserve"> and deploy.</w:t>
      </w:r>
    </w:p>
    <w:p w14:paraId="4853D03C" w14:textId="77777777" w:rsidR="00F81621" w:rsidRPr="009A6B86" w:rsidRDefault="00F81621" w:rsidP="006C07C3">
      <w:pPr>
        <w:pStyle w:val="bullet1"/>
      </w:pPr>
      <w:r w:rsidRPr="00AB77EC">
        <w:rPr>
          <w:rFonts w:eastAsiaTheme="minorHAnsi"/>
        </w:rPr>
        <w:t xml:space="preserve">Custom building of every interface increases the cost to allow partners or pilot sites to exchange data. This approach has partners entering data directly into N-FOCUS via CITRIX access in addition to entering the data into their own computer system. This limitation causes data entry delays, data quality and data reporting inconsistencies. For each partner, this effort is costly and prone to increase cost for partners to participate. </w:t>
      </w:r>
    </w:p>
    <w:p w14:paraId="52687C17" w14:textId="69C5CC84" w:rsidR="00F81621" w:rsidRPr="006C07C3" w:rsidRDefault="00F81621" w:rsidP="006C07C3">
      <w:pPr>
        <w:pStyle w:val="bullet1"/>
      </w:pPr>
      <w:r w:rsidRPr="00AB77EC">
        <w:rPr>
          <w:rFonts w:eastAsiaTheme="minorHAnsi"/>
        </w:rPr>
        <w:t>The reporting architecture uses a copy of production data copied weekly.</w:t>
      </w:r>
      <w:r w:rsidR="00B83EBC">
        <w:rPr>
          <w:rFonts w:eastAsiaTheme="minorHAnsi"/>
        </w:rPr>
        <w:t xml:space="preserve"> </w:t>
      </w:r>
      <w:r w:rsidRPr="00AB77EC">
        <w:rPr>
          <w:rFonts w:eastAsiaTheme="minorHAnsi"/>
        </w:rPr>
        <w:t>Batch reports are generated against that copy.</w:t>
      </w:r>
      <w:r w:rsidR="00B83EBC">
        <w:rPr>
          <w:rFonts w:eastAsiaTheme="minorHAnsi"/>
        </w:rPr>
        <w:t xml:space="preserve"> </w:t>
      </w:r>
      <w:r w:rsidRPr="00AB77EC">
        <w:rPr>
          <w:rFonts w:eastAsiaTheme="minorHAnsi"/>
        </w:rPr>
        <w:t xml:space="preserve">This is a costly approach to providing access to data, has limited the ability to generate ad hoc reports by users, and has impacted the ability to produce real-time statistics for case workers, supervisors or managers. </w:t>
      </w:r>
      <w:r w:rsidR="0035246F">
        <w:rPr>
          <w:rFonts w:eastAsiaTheme="minorHAnsi"/>
        </w:rPr>
        <w:t>Daily reports are generated by writing stored procedures and the output is used by Crystal Reports to generate the report.</w:t>
      </w:r>
      <w:r w:rsidR="0035246F" w:rsidRPr="00AB77EC">
        <w:rPr>
          <w:rFonts w:eastAsiaTheme="minorHAnsi"/>
        </w:rPr>
        <w:t xml:space="preserve"> </w:t>
      </w:r>
      <w:r w:rsidRPr="00AB77EC">
        <w:rPr>
          <w:rFonts w:eastAsiaTheme="minorHAnsi"/>
        </w:rPr>
        <w:t xml:space="preserve">There is </w:t>
      </w:r>
      <w:r w:rsidR="0035246F">
        <w:rPr>
          <w:rFonts w:eastAsiaTheme="minorHAnsi"/>
        </w:rPr>
        <w:t xml:space="preserve">limited </w:t>
      </w:r>
      <w:r w:rsidRPr="00AB77EC">
        <w:rPr>
          <w:rFonts w:eastAsiaTheme="minorHAnsi"/>
        </w:rPr>
        <w:t>ability to forecast real-time impact of daily changes.</w:t>
      </w:r>
    </w:p>
    <w:p w14:paraId="1855760E" w14:textId="77777777" w:rsidR="006C07C3" w:rsidRPr="006C07C3" w:rsidRDefault="006C07C3" w:rsidP="006C07C3"/>
    <w:p w14:paraId="79D8B491" w14:textId="610208A0" w:rsidR="00AE02B8" w:rsidRPr="001B7AFC" w:rsidRDefault="00AE02B8" w:rsidP="00E333A2"/>
    <w:sectPr w:rsidR="00AE02B8" w:rsidRPr="001B7AFC" w:rsidSect="00B32214">
      <w:headerReference w:type="default" r:id="rId17"/>
      <w:footerReference w:type="default" r:id="rId18"/>
      <w:headerReference w:type="first" r:id="rId19"/>
      <w:footnotePr>
        <w:numRestart w:val="eachPage"/>
      </w:footnotePr>
      <w:pgSz w:w="12240" w:h="15840" w:code="1"/>
      <w:pgMar w:top="1440" w:right="1440" w:bottom="1440" w:left="1440" w:header="576" w:footer="576" w:gutter="0"/>
      <w:cols w:space="720"/>
      <w:docGrid w:linePitch="299"/>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B86D934" w16cid:durableId="231F6E25"/>
  <w16cid:commentId w16cid:paraId="735279BD" w16cid:durableId="231F6E36"/>
  <w16cid:commentId w16cid:paraId="40000E7A" w16cid:durableId="231F6F64"/>
  <w16cid:commentId w16cid:paraId="422F8E80" w16cid:durableId="231F6F80"/>
  <w16cid:commentId w16cid:paraId="3C4169DF" w16cid:durableId="234292E3"/>
  <w16cid:commentId w16cid:paraId="79091D71" w16cid:durableId="2346AFAC"/>
  <w16cid:commentId w16cid:paraId="1DE6C03B" w16cid:durableId="23143030"/>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B71DF4" w14:textId="77777777" w:rsidR="00110EC2" w:rsidRDefault="00110EC2">
      <w:r>
        <w:separator/>
      </w:r>
    </w:p>
    <w:p w14:paraId="3C0511FA" w14:textId="77777777" w:rsidR="00110EC2" w:rsidRDefault="00110EC2"/>
  </w:endnote>
  <w:endnote w:type="continuationSeparator" w:id="0">
    <w:p w14:paraId="7F36A0B0" w14:textId="77777777" w:rsidR="00110EC2" w:rsidRDefault="00110EC2">
      <w:r>
        <w:continuationSeparator/>
      </w:r>
    </w:p>
    <w:p w14:paraId="6DBF6B4F" w14:textId="77777777" w:rsidR="00110EC2" w:rsidRDefault="00110EC2"/>
  </w:endnote>
  <w:endnote w:type="continuationNotice" w:id="1">
    <w:p w14:paraId="71329F7A" w14:textId="77777777" w:rsidR="00110EC2" w:rsidRDefault="00110EC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New York">
    <w:altName w:val="Times New Roman"/>
    <w:panose1 w:val="02040503060506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2A7542" w14:textId="1B2333BE" w:rsidR="00C0374F" w:rsidRDefault="00C0374F">
    <w:pPr>
      <w:pStyle w:val="Footer"/>
    </w:pPr>
  </w:p>
  <w:p w14:paraId="71863629" w14:textId="77777777" w:rsidR="00C0374F" w:rsidRDefault="00C037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1C1A93" w14:textId="77777777" w:rsidR="00110EC2" w:rsidRDefault="00110EC2">
      <w:r>
        <w:separator/>
      </w:r>
    </w:p>
    <w:p w14:paraId="04345B90" w14:textId="77777777" w:rsidR="00110EC2" w:rsidRDefault="00110EC2"/>
  </w:footnote>
  <w:footnote w:type="continuationSeparator" w:id="0">
    <w:p w14:paraId="6628986A" w14:textId="77777777" w:rsidR="00110EC2" w:rsidRDefault="00110EC2">
      <w:r>
        <w:continuationSeparator/>
      </w:r>
    </w:p>
    <w:p w14:paraId="3E6C1252" w14:textId="77777777" w:rsidR="00110EC2" w:rsidRDefault="00110EC2"/>
  </w:footnote>
  <w:footnote w:type="continuationNotice" w:id="1">
    <w:p w14:paraId="65699004" w14:textId="77777777" w:rsidR="00110EC2" w:rsidRDefault="00110EC2">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38794729"/>
      <w:docPartObj>
        <w:docPartGallery w:val="Page Numbers (Top of Page)"/>
        <w:docPartUnique/>
      </w:docPartObj>
    </w:sdtPr>
    <w:sdtEndPr>
      <w:rPr>
        <w:noProof/>
      </w:rPr>
    </w:sdtEndPr>
    <w:sdtContent>
      <w:p w14:paraId="452D2F0E" w14:textId="13A19561" w:rsidR="00B53058" w:rsidRDefault="00B53058">
        <w:pPr>
          <w:pStyle w:val="Header"/>
          <w:jc w:val="center"/>
        </w:pPr>
        <w:r>
          <w:fldChar w:fldCharType="begin"/>
        </w:r>
        <w:r>
          <w:instrText xml:space="preserve"> PAGE   \* MERGEFORMAT </w:instrText>
        </w:r>
        <w:r>
          <w:fldChar w:fldCharType="separate"/>
        </w:r>
        <w:r w:rsidR="006F2234">
          <w:rPr>
            <w:noProof/>
          </w:rPr>
          <w:t>1</w:t>
        </w:r>
        <w:r>
          <w:rPr>
            <w:noProof/>
          </w:rPr>
          <w:fldChar w:fldCharType="end"/>
        </w:r>
      </w:p>
    </w:sdtContent>
  </w:sdt>
  <w:p w14:paraId="01BC846E" w14:textId="77777777" w:rsidR="0012473C" w:rsidRDefault="0012473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insideH w:val="single" w:sz="6" w:space="0" w:color="auto"/>
      </w:tblBorders>
      <w:tblLayout w:type="fixed"/>
      <w:tblLook w:val="0000" w:firstRow="0" w:lastRow="0" w:firstColumn="0" w:lastColumn="0" w:noHBand="0" w:noVBand="0"/>
    </w:tblPr>
    <w:tblGrid>
      <w:gridCol w:w="4788"/>
      <w:gridCol w:w="3960"/>
    </w:tblGrid>
    <w:tr w:rsidR="00263257" w14:paraId="759B497B" w14:textId="77777777">
      <w:trPr>
        <w:trHeight w:val="720"/>
      </w:trPr>
      <w:tc>
        <w:tcPr>
          <w:tcW w:w="4788" w:type="dxa"/>
          <w:vAlign w:val="bottom"/>
        </w:tcPr>
        <w:p w14:paraId="095F667A" w14:textId="77777777" w:rsidR="00263257" w:rsidRDefault="00263257" w:rsidP="00332C39">
          <w:pPr>
            <w:pStyle w:val="Header"/>
            <w:spacing w:after="60"/>
            <w:ind w:left="-86"/>
            <w:rPr>
              <w:b/>
              <w:sz w:val="48"/>
            </w:rPr>
          </w:pPr>
          <w:r w:rsidRPr="007530DC">
            <w:rPr>
              <w:b/>
            </w:rPr>
            <w:object w:dxaOrig="3076" w:dyaOrig="691" w14:anchorId="566FD8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23.15pt;height:20.85pt" o:ole="" fillcolor="window">
                <v:imagedata r:id="rId1" o:title=""/>
              </v:shape>
              <o:OLEObject Type="Embed" ProgID="Word.Picture.8" ShapeID="_x0000_i1027" DrawAspect="Content" ObjectID="_1666766169" r:id="rId2"/>
            </w:object>
          </w:r>
        </w:p>
      </w:tc>
      <w:tc>
        <w:tcPr>
          <w:tcW w:w="3960" w:type="dxa"/>
          <w:vAlign w:val="bottom"/>
        </w:tcPr>
        <w:p w14:paraId="2BEB1BEE" w14:textId="77777777" w:rsidR="00263257" w:rsidRDefault="00263257" w:rsidP="00332C39">
          <w:pPr>
            <w:pStyle w:val="ResearchHeader"/>
            <w:spacing w:before="300"/>
            <w:ind w:right="-115"/>
          </w:pPr>
          <w:r>
            <w:t>Research</w:t>
          </w:r>
        </w:p>
      </w:tc>
    </w:tr>
    <w:tr w:rsidR="00263257" w14:paraId="0FB6D96A" w14:textId="77777777">
      <w:trPr>
        <w:trHeight w:val="346"/>
      </w:trPr>
      <w:tc>
        <w:tcPr>
          <w:tcW w:w="4788" w:type="dxa"/>
        </w:tcPr>
        <w:p w14:paraId="615EF396" w14:textId="77777777" w:rsidR="00263257" w:rsidRDefault="00263257" w:rsidP="00332C39">
          <w:pPr>
            <w:pStyle w:val="HeaderPubDate"/>
          </w:pPr>
          <w:r>
            <w:t xml:space="preserve">Publication Date: </w:t>
          </w:r>
        </w:p>
      </w:tc>
      <w:tc>
        <w:tcPr>
          <w:tcW w:w="3960" w:type="dxa"/>
        </w:tcPr>
        <w:p w14:paraId="12B39DBB" w14:textId="77777777" w:rsidR="00263257" w:rsidRDefault="00263257" w:rsidP="00332C39">
          <w:pPr>
            <w:pStyle w:val="HeaderDocNum"/>
            <w:spacing w:before="80"/>
            <w:ind w:right="-115"/>
          </w:pPr>
          <w:r>
            <w:t xml:space="preserve">ID Number:   </w:t>
          </w:r>
        </w:p>
      </w:tc>
    </w:tr>
  </w:tbl>
  <w:p w14:paraId="74BF801C" w14:textId="77777777" w:rsidR="00263257" w:rsidRDefault="00263257" w:rsidP="00332C3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6A4E68"/>
    <w:multiLevelType w:val="multilevel"/>
    <w:tmpl w:val="2848B3BE"/>
    <w:styleLink w:val="Headings-noTOC"/>
    <w:lvl w:ilvl="0">
      <w:start w:val="1"/>
      <w:numFmt w:val="none"/>
      <w:pStyle w:val="Heading1-noTOC"/>
      <w:suff w:val="nothing"/>
      <w:lvlText w:val="%1"/>
      <w:lvlJc w:val="left"/>
      <w:pPr>
        <w:ind w:left="0" w:firstLine="0"/>
      </w:pPr>
      <w:rPr>
        <w:rFonts w:ascii="Arial" w:hAnsi="Arial" w:hint="default"/>
        <w:b/>
        <w:i w:val="0"/>
        <w:sz w:val="32"/>
      </w:rPr>
    </w:lvl>
    <w:lvl w:ilvl="1">
      <w:start w:val="1"/>
      <w:numFmt w:val="none"/>
      <w:lvlRestart w:val="0"/>
      <w:pStyle w:val="Heading2-noTOC"/>
      <w:suff w:val="nothing"/>
      <w:lvlText w:val="%2"/>
      <w:lvlJc w:val="left"/>
      <w:pPr>
        <w:ind w:left="0" w:firstLine="0"/>
      </w:pPr>
      <w:rPr>
        <w:rFonts w:ascii="Arial" w:hAnsi="Arial" w:hint="default"/>
        <w:b/>
        <w:i w:val="0"/>
        <w:spacing w:val="10"/>
        <w:sz w:val="28"/>
      </w:rPr>
    </w:lvl>
    <w:lvl w:ilvl="2">
      <w:start w:val="1"/>
      <w:numFmt w:val="none"/>
      <w:lvlRestart w:val="0"/>
      <w:pStyle w:val="Heading3-noTOC"/>
      <w:suff w:val="nothing"/>
      <w:lvlText w:val="%3"/>
      <w:lvlJc w:val="left"/>
      <w:pPr>
        <w:ind w:left="0" w:firstLine="0"/>
      </w:pPr>
      <w:rPr>
        <w:rFonts w:ascii="Arial" w:hAnsi="Arial" w:hint="default"/>
        <w:b/>
        <w:i w:val="0"/>
        <w:sz w:val="24"/>
      </w:rPr>
    </w:lvl>
    <w:lvl w:ilvl="3">
      <w:start w:val="1"/>
      <w:numFmt w:val="none"/>
      <w:lvlRestart w:val="0"/>
      <w:pStyle w:val="Heading4-noTOC"/>
      <w:suff w:val="nothing"/>
      <w:lvlText w:val=""/>
      <w:lvlJc w:val="left"/>
      <w:pPr>
        <w:ind w:left="0" w:firstLine="0"/>
      </w:pPr>
      <w:rPr>
        <w:rFonts w:ascii="Arial" w:hAnsi="Arial" w:cs="Arial" w:hint="default"/>
        <w:b/>
        <w:bCs w:val="0"/>
        <w:i/>
        <w:iCs w:val="0"/>
        <w:sz w:val="24"/>
        <w:szCs w:val="24"/>
      </w:rPr>
    </w:lvl>
    <w:lvl w:ilvl="4">
      <w:start w:val="1"/>
      <w:numFmt w:val="none"/>
      <w:lvlRestart w:val="0"/>
      <w:pStyle w:val="Heading5-noTOC"/>
      <w:suff w:val="nothing"/>
      <w:lvlText w:val=""/>
      <w:lvlJc w:val="left"/>
      <w:pPr>
        <w:ind w:left="0" w:firstLine="0"/>
      </w:pPr>
      <w:rPr>
        <w:rFonts w:ascii="Arial" w:hAnsi="Arial" w:hint="default"/>
        <w:b/>
        <w:i/>
        <w:sz w:val="24"/>
        <w:u w:val="single"/>
      </w:rPr>
    </w:lvl>
    <w:lvl w:ilvl="5">
      <w:start w:val="1"/>
      <w:numFmt w:val="none"/>
      <w:lvlRestart w:val="0"/>
      <w:pStyle w:val="Heading6-noTOC"/>
      <w:suff w:val="nothing"/>
      <w:lvlText w:val=""/>
      <w:lvlJc w:val="left"/>
      <w:pPr>
        <w:ind w:left="0" w:firstLine="0"/>
      </w:pPr>
      <w:rPr>
        <w:rFonts w:ascii="Arial" w:hAnsi="Arial" w:hint="default"/>
        <w:b w:val="0"/>
        <w:i w:val="0"/>
        <w:sz w:val="24"/>
      </w:rPr>
    </w:lvl>
    <w:lvl w:ilvl="6">
      <w:start w:val="1"/>
      <w:numFmt w:val="none"/>
      <w:lvlRestart w:val="0"/>
      <w:pStyle w:val="Heading7-noTOC"/>
      <w:suff w:val="nothing"/>
      <w:lvlText w:val=""/>
      <w:lvlJc w:val="left"/>
      <w:pPr>
        <w:ind w:left="0" w:firstLine="0"/>
      </w:pPr>
      <w:rPr>
        <w:rFonts w:ascii="Arial" w:hAnsi="Arial" w:hint="default"/>
        <w:b w:val="0"/>
        <w:i/>
        <w:sz w:val="24"/>
      </w:rPr>
    </w:lvl>
    <w:lvl w:ilvl="7">
      <w:start w:val="1"/>
      <w:numFmt w:val="none"/>
      <w:lvlRestart w:val="0"/>
      <w:pStyle w:val="Heading8-noTOC"/>
      <w:suff w:val="nothing"/>
      <w:lvlText w:val=""/>
      <w:lvlJc w:val="left"/>
      <w:pPr>
        <w:ind w:left="0" w:firstLine="0"/>
      </w:pPr>
      <w:rPr>
        <w:rFonts w:ascii="Arial" w:hAnsi="Arial" w:hint="default"/>
        <w:b w:val="0"/>
        <w:i/>
        <w:sz w:val="24"/>
        <w:u w:val="single"/>
      </w:rPr>
    </w:lvl>
    <w:lvl w:ilvl="8">
      <w:start w:val="1"/>
      <w:numFmt w:val="none"/>
      <w:lvlRestart w:val="0"/>
      <w:pStyle w:val="Heading9-noTOC"/>
      <w:suff w:val="nothing"/>
      <w:lvlText w:val=""/>
      <w:lvlJc w:val="left"/>
      <w:pPr>
        <w:ind w:left="0" w:firstLine="0"/>
      </w:pPr>
      <w:rPr>
        <w:rFonts w:ascii="Arial" w:hAnsi="Arial" w:hint="default"/>
        <w:b/>
        <w:i w:val="0"/>
        <w:sz w:val="22"/>
      </w:rPr>
    </w:lvl>
  </w:abstractNum>
  <w:abstractNum w:abstractNumId="1" w15:restartNumberingAfterBreak="0">
    <w:nsid w:val="0CD328A3"/>
    <w:multiLevelType w:val="multilevel"/>
    <w:tmpl w:val="55DEA8C0"/>
    <w:lvl w:ilvl="0">
      <w:start w:val="1"/>
      <w:numFmt w:val="decimal"/>
      <w:pStyle w:val="Num-Heading1-noTOC"/>
      <w:lvlText w:val="%1.0"/>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F0D16CD"/>
    <w:multiLevelType w:val="multilevel"/>
    <w:tmpl w:val="B9160C0A"/>
    <w:lvl w:ilvl="0">
      <w:start w:val="1"/>
      <w:numFmt w:val="upperRoman"/>
      <w:pStyle w:val="Phase"/>
      <w:lvlText w:val="Phase %1."/>
      <w:lvlJc w:val="left"/>
      <w:pPr>
        <w:tabs>
          <w:tab w:val="num" w:pos="1440"/>
        </w:tabs>
        <w:ind w:left="1440" w:hanging="1440"/>
      </w:pPr>
      <w:rPr>
        <w:rFonts w:ascii="Arial" w:hAnsi="Arial" w:hint="default"/>
        <w:b/>
        <w:bCs w:val="0"/>
        <w:i w:val="0"/>
        <w:iCs w:val="0"/>
        <w:caps w:val="0"/>
        <w:smallCaps w:val="0"/>
        <w:strike w:val="0"/>
        <w:dstrike w:val="0"/>
        <w:outline w:val="0"/>
        <w:shadow w:val="0"/>
        <w:emboss w:val="0"/>
        <w:imprint w:val="0"/>
        <w:vanish w:val="0"/>
        <w:spacing w:val="0"/>
        <w:kern w:val="0"/>
        <w:position w:val="0"/>
        <w:sz w:val="24"/>
        <w:u w:val="none"/>
        <w:effect w:val="none"/>
        <w:vertAlign w:val="baseline"/>
        <w:em w:val="none"/>
        <w14:ligatures w14:val="none"/>
        <w14:numForm w14:val="default"/>
        <w14:numSpacing w14:val="default"/>
        <w14:stylisticSets/>
        <w14:cntxtAlts w14:val="0"/>
      </w:rPr>
    </w:lvl>
    <w:lvl w:ilvl="1">
      <w:start w:val="1"/>
      <w:numFmt w:val="decimal"/>
      <w:pStyle w:val="Step"/>
      <w:lvlText w:val="Step %2."/>
      <w:lvlJc w:val="left"/>
      <w:pPr>
        <w:tabs>
          <w:tab w:val="num" w:pos="1080"/>
        </w:tabs>
        <w:ind w:left="1080" w:hanging="1080"/>
      </w:pPr>
      <w:rPr>
        <w:rFonts w:ascii="Arial" w:hAnsi="Arial" w:hint="default"/>
        <w:b/>
        <w:i/>
        <w:sz w:val="24"/>
      </w:rPr>
    </w:lvl>
    <w:lvl w:ilvl="2">
      <w:start w:val="1"/>
      <w:numFmt w:val="decimal"/>
      <w:pStyle w:val="Task"/>
      <w:lvlText w:val="Task %3."/>
      <w:lvlJc w:val="left"/>
      <w:pPr>
        <w:tabs>
          <w:tab w:val="num" w:pos="1080"/>
        </w:tabs>
        <w:ind w:left="1080" w:hanging="1080"/>
      </w:pPr>
      <w:rPr>
        <w:rFonts w:ascii="Arial" w:hAnsi="Arial" w:hint="default"/>
        <w:b w:val="0"/>
        <w:i w:val="0"/>
        <w:sz w:val="24"/>
      </w:rPr>
    </w:lvl>
    <w:lvl w:ilvl="3">
      <w:start w:val="1"/>
      <w:numFmt w:val="none"/>
      <w:lvlRestart w:val="0"/>
      <w:suff w:val="nothing"/>
      <w:lvlText w:val=""/>
      <w:lvlJc w:val="left"/>
      <w:pPr>
        <w:ind w:left="0" w:firstLine="0"/>
      </w:pPr>
      <w:rPr>
        <w:rFonts w:ascii="Arial" w:hAnsi="Arial" w:hint="default"/>
        <w:b w:val="0"/>
        <w:i/>
        <w:sz w:val="24"/>
      </w:rPr>
    </w:lvl>
    <w:lvl w:ilvl="4">
      <w:start w:val="1"/>
      <w:numFmt w:val="decimal"/>
      <w:lvlRestart w:val="1"/>
      <w:lvlText w:val="Step %5."/>
      <w:lvlJc w:val="left"/>
      <w:pPr>
        <w:tabs>
          <w:tab w:val="num" w:pos="1080"/>
        </w:tabs>
        <w:ind w:left="1080" w:hanging="1080"/>
      </w:pPr>
      <w:rPr>
        <w:rFonts w:ascii="Arial" w:hAnsi="Arial" w:hint="default"/>
        <w:b/>
        <w:i/>
        <w:sz w:val="24"/>
      </w:rPr>
    </w:lvl>
    <w:lvl w:ilvl="5">
      <w:start w:val="1"/>
      <w:numFmt w:val="decimal"/>
      <w:lvlText w:val="Task %6."/>
      <w:lvlJc w:val="left"/>
      <w:pPr>
        <w:tabs>
          <w:tab w:val="num" w:pos="1080"/>
        </w:tabs>
        <w:ind w:left="1080" w:hanging="1080"/>
      </w:pPr>
      <w:rPr>
        <w:rFonts w:ascii="Arial" w:hAnsi="Arial" w:hint="default"/>
        <w:b w:val="0"/>
        <w:i w:val="0"/>
        <w:sz w:val="24"/>
      </w:rPr>
    </w:lvl>
    <w:lvl w:ilvl="6">
      <w:start w:val="1"/>
      <w:numFmt w:val="none"/>
      <w:lvlRestart w:val="0"/>
      <w:suff w:val="nothing"/>
      <w:lvlText w:val=""/>
      <w:lvlJc w:val="left"/>
      <w:pPr>
        <w:ind w:left="0" w:firstLine="0"/>
      </w:pPr>
      <w:rPr>
        <w:rFonts w:ascii="Arial" w:hAnsi="Arial" w:hint="default"/>
        <w:b w:val="0"/>
        <w:i/>
        <w:sz w:val="24"/>
        <w:u w:val="none"/>
      </w:rPr>
    </w:lvl>
    <w:lvl w:ilvl="7">
      <w:start w:val="1"/>
      <w:numFmt w:val="none"/>
      <w:lvlRestart w:val="0"/>
      <w:suff w:val="nothing"/>
      <w:lvlText w:val="%8"/>
      <w:lvlJc w:val="left"/>
      <w:pPr>
        <w:ind w:left="-32767" w:firstLine="32767"/>
      </w:pPr>
      <w:rPr>
        <w:rFonts w:ascii="Arial" w:hAnsi="Arial" w:hint="default"/>
        <w:b/>
        <w:i w:val="0"/>
        <w:sz w:val="22"/>
        <w:u w:val="none"/>
      </w:rPr>
    </w:lvl>
    <w:lvl w:ilvl="8">
      <w:start w:val="1"/>
      <w:numFmt w:val="none"/>
      <w:lvlRestart w:val="0"/>
      <w:suff w:val="nothing"/>
      <w:lvlText w:val=""/>
      <w:lvlJc w:val="left"/>
      <w:pPr>
        <w:ind w:left="0" w:firstLine="0"/>
      </w:pPr>
      <w:rPr>
        <w:rFonts w:ascii="Arial" w:hAnsi="Arial" w:hint="default"/>
        <w:b/>
        <w:i/>
        <w:sz w:val="24"/>
        <w:u w:val="none"/>
      </w:rPr>
    </w:lvl>
  </w:abstractNum>
  <w:abstractNum w:abstractNumId="3" w15:restartNumberingAfterBreak="0">
    <w:nsid w:val="15773B70"/>
    <w:multiLevelType w:val="multilevel"/>
    <w:tmpl w:val="5C1637E8"/>
    <w:styleLink w:val="TableBullets2"/>
    <w:lvl w:ilvl="0">
      <w:start w:val="1"/>
      <w:numFmt w:val="bullet"/>
      <w:pStyle w:val="TableBullet6"/>
      <w:lvlText w:val=""/>
      <w:lvlJc w:val="left"/>
      <w:pPr>
        <w:tabs>
          <w:tab w:val="num" w:pos="360"/>
        </w:tabs>
        <w:ind w:left="360" w:hanging="274"/>
      </w:pPr>
      <w:rPr>
        <w:rFonts w:ascii="Wingdings" w:hAnsi="Wingdings" w:hint="default"/>
        <w:sz w:val="18"/>
      </w:rPr>
    </w:lvl>
    <w:lvl w:ilvl="1">
      <w:start w:val="1"/>
      <w:numFmt w:val="bullet"/>
      <w:lvlRestart w:val="0"/>
      <w:pStyle w:val="TableBullet7"/>
      <w:lvlText w:val=""/>
      <w:lvlJc w:val="left"/>
      <w:pPr>
        <w:tabs>
          <w:tab w:val="num" w:pos="720"/>
        </w:tabs>
        <w:ind w:left="720" w:hanging="360"/>
      </w:pPr>
      <w:rPr>
        <w:rFonts w:ascii="Wingdings" w:hAnsi="Wingdings" w:hint="default"/>
        <w:sz w:val="18"/>
      </w:rPr>
    </w:lvl>
    <w:lvl w:ilvl="2">
      <w:start w:val="1"/>
      <w:numFmt w:val="bullet"/>
      <w:lvlRestart w:val="0"/>
      <w:pStyle w:val="TableBullet8"/>
      <w:lvlText w:val=""/>
      <w:lvlJc w:val="left"/>
      <w:pPr>
        <w:tabs>
          <w:tab w:val="num" w:pos="360"/>
        </w:tabs>
        <w:ind w:left="360" w:hanging="274"/>
      </w:pPr>
      <w:rPr>
        <w:rFonts w:ascii="Wingdings" w:hAnsi="Wingdings" w:hint="default"/>
        <w:sz w:val="18"/>
      </w:rPr>
    </w:lvl>
    <w:lvl w:ilvl="3">
      <w:start w:val="1"/>
      <w:numFmt w:val="bullet"/>
      <w:lvlRestart w:val="0"/>
      <w:pStyle w:val="TableBullet9"/>
      <w:lvlText w:val=""/>
      <w:lvlJc w:val="left"/>
      <w:pPr>
        <w:tabs>
          <w:tab w:val="num" w:pos="720"/>
        </w:tabs>
        <w:ind w:left="720" w:hanging="360"/>
      </w:pPr>
      <w:rPr>
        <w:rFonts w:ascii="Wingdings" w:hAnsi="Wingdings" w:hint="default"/>
        <w:sz w:val="18"/>
      </w:rPr>
    </w:lvl>
    <w:lvl w:ilvl="4">
      <w:start w:val="1"/>
      <w:numFmt w:val="bullet"/>
      <w:lvlRestart w:val="0"/>
      <w:pStyle w:val="TableBullet10"/>
      <w:lvlText w:val=""/>
      <w:lvlJc w:val="left"/>
      <w:pPr>
        <w:tabs>
          <w:tab w:val="num" w:pos="360"/>
        </w:tabs>
        <w:ind w:left="360" w:hanging="274"/>
      </w:pPr>
      <w:rPr>
        <w:rFonts w:ascii="Wingdings" w:hAnsi="Wingdings" w:hint="default"/>
        <w:sz w:val="32"/>
      </w:rPr>
    </w:lvl>
    <w:lvl w:ilvl="5">
      <w:start w:val="1"/>
      <w:numFmt w:val="bullet"/>
      <w:lvlRestart w:val="0"/>
      <w:pStyle w:val="TableBullet11"/>
      <w:lvlText w:val=""/>
      <w:lvlJc w:val="left"/>
      <w:pPr>
        <w:tabs>
          <w:tab w:val="num" w:pos="720"/>
        </w:tabs>
        <w:ind w:left="720" w:hanging="360"/>
      </w:pPr>
      <w:rPr>
        <w:rFonts w:ascii="Wingdings" w:hAnsi="Wingdings" w:hint="default"/>
        <w:sz w:val="32"/>
      </w:rPr>
    </w:lvl>
    <w:lvl w:ilvl="6">
      <w:start w:val="1"/>
      <w:numFmt w:val="bullet"/>
      <w:lvlRestart w:val="0"/>
      <w:pStyle w:val="TableBullet12"/>
      <w:lvlText w:val=""/>
      <w:lvlJc w:val="left"/>
      <w:pPr>
        <w:tabs>
          <w:tab w:val="num" w:pos="360"/>
        </w:tabs>
        <w:ind w:left="360" w:hanging="274"/>
      </w:pPr>
      <w:rPr>
        <w:rFonts w:ascii="Wingdings" w:hAnsi="Wingdings" w:hint="default"/>
        <w:sz w:val="32"/>
      </w:rPr>
    </w:lvl>
    <w:lvl w:ilvl="7">
      <w:start w:val="1"/>
      <w:numFmt w:val="bullet"/>
      <w:lvlRestart w:val="0"/>
      <w:pStyle w:val="TableBullet13"/>
      <w:lvlText w:val=""/>
      <w:lvlJc w:val="left"/>
      <w:pPr>
        <w:tabs>
          <w:tab w:val="num" w:pos="720"/>
        </w:tabs>
        <w:ind w:left="720" w:hanging="360"/>
      </w:pPr>
      <w:rPr>
        <w:rFonts w:ascii="Wingdings" w:hAnsi="Wingdings" w:hint="default"/>
        <w:sz w:val="32"/>
      </w:rPr>
    </w:lvl>
    <w:lvl w:ilvl="8">
      <w:start w:val="1"/>
      <w:numFmt w:val="bullet"/>
      <w:lvlRestart w:val="0"/>
      <w:pStyle w:val="TableBullet14"/>
      <w:lvlText w:val=""/>
      <w:lvlJc w:val="left"/>
      <w:pPr>
        <w:tabs>
          <w:tab w:val="num" w:pos="720"/>
        </w:tabs>
        <w:ind w:left="720" w:hanging="360"/>
      </w:pPr>
      <w:rPr>
        <w:rFonts w:ascii="Symbol" w:hAnsi="Symbol" w:hint="default"/>
        <w:sz w:val="24"/>
      </w:rPr>
    </w:lvl>
  </w:abstractNum>
  <w:abstractNum w:abstractNumId="4" w15:restartNumberingAfterBreak="0">
    <w:nsid w:val="25544F52"/>
    <w:multiLevelType w:val="multilevel"/>
    <w:tmpl w:val="0644A352"/>
    <w:lvl w:ilvl="0">
      <w:start w:val="1"/>
      <w:numFmt w:val="decimal"/>
      <w:lvlText w:val="%1.0"/>
      <w:lvlJc w:val="left"/>
      <w:pPr>
        <w:tabs>
          <w:tab w:val="num" w:pos="720"/>
        </w:tabs>
        <w:ind w:left="720" w:hanging="720"/>
      </w:pPr>
      <w:rPr>
        <w:rFonts w:ascii="Arial" w:hAnsi="Arial" w:hint="default"/>
        <w:b/>
        <w:i w:val="0"/>
        <w:sz w:val="32"/>
      </w:rPr>
    </w:lvl>
    <w:lvl w:ilvl="1">
      <w:start w:val="1"/>
      <w:numFmt w:val="decimal"/>
      <w:lvlText w:val="%1.%2"/>
      <w:lvlJc w:val="left"/>
      <w:pPr>
        <w:tabs>
          <w:tab w:val="num" w:pos="720"/>
        </w:tabs>
        <w:ind w:left="720" w:hanging="720"/>
      </w:pPr>
      <w:rPr>
        <w:rFonts w:ascii="Arial" w:hAnsi="Arial" w:hint="default"/>
        <w:b/>
        <w:i w:val="0"/>
        <w:spacing w:val="10"/>
        <w:sz w:val="28"/>
      </w:rPr>
    </w:lvl>
    <w:lvl w:ilvl="2">
      <w:start w:val="1"/>
      <w:numFmt w:val="decimal"/>
      <w:lvlText w:val="%1.%2.%3"/>
      <w:lvlJc w:val="left"/>
      <w:pPr>
        <w:tabs>
          <w:tab w:val="num" w:pos="907"/>
        </w:tabs>
        <w:ind w:left="907" w:hanging="907"/>
      </w:pPr>
      <w:rPr>
        <w:rFonts w:ascii="Arial" w:hAnsi="Arial" w:hint="default"/>
        <w:b/>
        <w:i w:val="0"/>
        <w:sz w:val="24"/>
      </w:rPr>
    </w:lvl>
    <w:lvl w:ilvl="3">
      <w:start w:val="1"/>
      <w:numFmt w:val="decimal"/>
      <w:pStyle w:val="Num-Heading4-noTOC"/>
      <w:lvlText w:val="%1.%2.%3.%4"/>
      <w:lvlJc w:val="left"/>
      <w:pPr>
        <w:tabs>
          <w:tab w:val="num" w:pos="994"/>
        </w:tabs>
        <w:ind w:left="994" w:hanging="994"/>
      </w:pPr>
      <w:rPr>
        <w:rFonts w:ascii="Arial" w:hAnsi="Arial" w:hint="default"/>
        <w:b/>
        <w:i/>
        <w:sz w:val="24"/>
      </w:rPr>
    </w:lvl>
    <w:lvl w:ilvl="4">
      <w:start w:val="1"/>
      <w:numFmt w:val="decimal"/>
      <w:lvlText w:val="%1.%2.%3.%4.%5"/>
      <w:lvlJc w:val="left"/>
      <w:pPr>
        <w:tabs>
          <w:tab w:val="num" w:pos="1166"/>
        </w:tabs>
        <w:ind w:left="1166" w:hanging="1166"/>
      </w:pPr>
      <w:rPr>
        <w:rFonts w:ascii="Arial" w:hAnsi="Arial" w:hint="default"/>
        <w:b/>
        <w:i/>
        <w:sz w:val="24"/>
        <w:u w:val="single"/>
      </w:rPr>
    </w:lvl>
    <w:lvl w:ilvl="5">
      <w:start w:val="1"/>
      <w:numFmt w:val="decimal"/>
      <w:lvlText w:val="%1.%2.%3.%4.%5.%6"/>
      <w:lvlJc w:val="left"/>
      <w:pPr>
        <w:tabs>
          <w:tab w:val="num" w:pos="1440"/>
        </w:tabs>
        <w:ind w:left="1440" w:hanging="1440"/>
      </w:pPr>
      <w:rPr>
        <w:rFonts w:ascii="Arial" w:hAnsi="Arial" w:hint="default"/>
        <w:b w:val="0"/>
        <w:i w:val="0"/>
        <w:sz w:val="24"/>
      </w:rPr>
    </w:lvl>
    <w:lvl w:ilvl="6">
      <w:start w:val="1"/>
      <w:numFmt w:val="decimal"/>
      <w:lvlText w:val="%1.%2.%3.%4.%5.%6.%7"/>
      <w:lvlJc w:val="left"/>
      <w:pPr>
        <w:tabs>
          <w:tab w:val="num" w:pos="1627"/>
        </w:tabs>
        <w:ind w:left="1627" w:hanging="1627"/>
      </w:pPr>
      <w:rPr>
        <w:rFonts w:ascii="Arial" w:hAnsi="Arial" w:hint="default"/>
        <w:b w:val="0"/>
        <w:i/>
        <w:sz w:val="24"/>
        <w:u w:val="none"/>
      </w:rPr>
    </w:lvl>
    <w:lvl w:ilvl="7">
      <w:start w:val="1"/>
      <w:numFmt w:val="decimal"/>
      <w:lvlText w:val="%1.%2.%3.%4.%5.%6.%7.%8"/>
      <w:lvlJc w:val="left"/>
      <w:pPr>
        <w:tabs>
          <w:tab w:val="num" w:pos="1714"/>
        </w:tabs>
        <w:ind w:left="1714" w:hanging="1714"/>
      </w:pPr>
      <w:rPr>
        <w:rFonts w:ascii="Arial" w:hAnsi="Arial" w:hint="default"/>
        <w:b w:val="0"/>
        <w:i/>
        <w:sz w:val="24"/>
        <w:u w:val="single"/>
      </w:rPr>
    </w:lvl>
    <w:lvl w:ilvl="8">
      <w:start w:val="1"/>
      <w:numFmt w:val="decimal"/>
      <w:lvlText w:val="%1.%2.%3.%4.%5.%6.%7.%8.%9"/>
      <w:lvlJc w:val="left"/>
      <w:pPr>
        <w:tabs>
          <w:tab w:val="num" w:pos="1886"/>
        </w:tabs>
        <w:ind w:left="1886" w:hanging="1886"/>
      </w:pPr>
      <w:rPr>
        <w:rFonts w:ascii="Arial" w:hAnsi="Arial" w:hint="default"/>
        <w:b/>
        <w:i w:val="0"/>
        <w:sz w:val="22"/>
        <w:u w:val="none"/>
      </w:rPr>
    </w:lvl>
  </w:abstractNum>
  <w:abstractNum w:abstractNumId="5" w15:restartNumberingAfterBreak="0">
    <w:nsid w:val="2E0941DE"/>
    <w:multiLevelType w:val="multilevel"/>
    <w:tmpl w:val="4E569A8A"/>
    <w:styleLink w:val="NumberedLists"/>
    <w:lvl w:ilvl="0">
      <w:start w:val="1"/>
      <w:numFmt w:val="decimal"/>
      <w:pStyle w:val="NumberedList1"/>
      <w:lvlText w:val="%1."/>
      <w:lvlJc w:val="left"/>
      <w:pPr>
        <w:tabs>
          <w:tab w:val="num" w:pos="720"/>
        </w:tabs>
        <w:ind w:left="720" w:hanging="533"/>
      </w:pPr>
      <w:rPr>
        <w:rFonts w:ascii="Arial" w:hAnsi="Arial" w:hint="default"/>
        <w:b w:val="0"/>
        <w:i w:val="0"/>
        <w:sz w:val="22"/>
      </w:rPr>
    </w:lvl>
    <w:lvl w:ilvl="1">
      <w:start w:val="1"/>
      <w:numFmt w:val="lowerLetter"/>
      <w:pStyle w:val="NumberedList2"/>
      <w:lvlText w:val="%2."/>
      <w:lvlJc w:val="left"/>
      <w:pPr>
        <w:tabs>
          <w:tab w:val="num" w:pos="1267"/>
        </w:tabs>
        <w:ind w:left="1267" w:hanging="547"/>
      </w:pPr>
      <w:rPr>
        <w:rFonts w:ascii="Arial" w:hAnsi="Arial" w:hint="default"/>
        <w:b w:val="0"/>
        <w:i w:val="0"/>
        <w:sz w:val="22"/>
      </w:rPr>
    </w:lvl>
    <w:lvl w:ilvl="2">
      <w:start w:val="1"/>
      <w:numFmt w:val="lowerRoman"/>
      <w:pStyle w:val="NumberedList3"/>
      <w:lvlText w:val="%3."/>
      <w:lvlJc w:val="left"/>
      <w:pPr>
        <w:tabs>
          <w:tab w:val="num" w:pos="1800"/>
        </w:tabs>
        <w:ind w:left="1800" w:hanging="533"/>
      </w:pPr>
      <w:rPr>
        <w:rFonts w:ascii="Arial" w:hAnsi="Arial" w:hint="default"/>
        <w:b w:val="0"/>
        <w:i w:val="0"/>
        <w:sz w:val="22"/>
      </w:rPr>
    </w:lvl>
    <w:lvl w:ilvl="3">
      <w:start w:val="1"/>
      <w:numFmt w:val="decimal"/>
      <w:pStyle w:val="NumberedList4"/>
      <w:lvlText w:val="(%4)"/>
      <w:lvlJc w:val="left"/>
      <w:pPr>
        <w:tabs>
          <w:tab w:val="num" w:pos="720"/>
        </w:tabs>
        <w:ind w:left="720" w:hanging="533"/>
      </w:pPr>
      <w:rPr>
        <w:rFonts w:ascii="Arial" w:hAnsi="Arial" w:hint="default"/>
        <w:b w:val="0"/>
        <w:i w:val="0"/>
        <w:sz w:val="22"/>
      </w:rPr>
    </w:lvl>
    <w:lvl w:ilvl="4">
      <w:start w:val="1"/>
      <w:numFmt w:val="lowerLetter"/>
      <w:pStyle w:val="NumberedList5"/>
      <w:lvlText w:val="(%5)"/>
      <w:lvlJc w:val="left"/>
      <w:pPr>
        <w:tabs>
          <w:tab w:val="num" w:pos="1267"/>
        </w:tabs>
        <w:ind w:left="1267" w:hanging="547"/>
      </w:pPr>
      <w:rPr>
        <w:rFonts w:ascii="Arial" w:hAnsi="Arial" w:hint="default"/>
        <w:b w:val="0"/>
        <w:i w:val="0"/>
        <w:sz w:val="22"/>
      </w:rPr>
    </w:lvl>
    <w:lvl w:ilvl="5">
      <w:start w:val="1"/>
      <w:numFmt w:val="lowerRoman"/>
      <w:pStyle w:val="NumberedList6"/>
      <w:lvlText w:val="(%6)."/>
      <w:lvlJc w:val="left"/>
      <w:pPr>
        <w:tabs>
          <w:tab w:val="num" w:pos="1800"/>
        </w:tabs>
        <w:ind w:left="1800" w:hanging="533"/>
      </w:pPr>
      <w:rPr>
        <w:rFonts w:ascii="Arial" w:hAnsi="Arial" w:hint="default"/>
        <w:b w:val="0"/>
        <w:i w:val="0"/>
        <w:sz w:val="22"/>
      </w:rPr>
    </w:lvl>
    <w:lvl w:ilvl="6">
      <w:start w:val="1"/>
      <w:numFmt w:val="upperRoman"/>
      <w:pStyle w:val="NumberedList7"/>
      <w:lvlText w:val="%7."/>
      <w:lvlJc w:val="left"/>
      <w:pPr>
        <w:tabs>
          <w:tab w:val="num" w:pos="720"/>
        </w:tabs>
        <w:ind w:left="720" w:hanging="533"/>
      </w:pPr>
      <w:rPr>
        <w:rFonts w:ascii="Arial" w:hAnsi="Arial" w:hint="default"/>
        <w:b w:val="0"/>
        <w:i w:val="0"/>
        <w:sz w:val="22"/>
      </w:rPr>
    </w:lvl>
    <w:lvl w:ilvl="7">
      <w:start w:val="1"/>
      <w:numFmt w:val="upperLetter"/>
      <w:pStyle w:val="NumberedList8"/>
      <w:lvlText w:val="%8."/>
      <w:lvlJc w:val="left"/>
      <w:pPr>
        <w:tabs>
          <w:tab w:val="num" w:pos="1267"/>
        </w:tabs>
        <w:ind w:left="1267" w:hanging="547"/>
      </w:pPr>
      <w:rPr>
        <w:rFonts w:ascii="Arial" w:hAnsi="Arial" w:hint="default"/>
        <w:b w:val="0"/>
        <w:i w:val="0"/>
        <w:sz w:val="22"/>
      </w:rPr>
    </w:lvl>
    <w:lvl w:ilvl="8">
      <w:start w:val="1"/>
      <w:numFmt w:val="decimalZero"/>
      <w:pStyle w:val="NumberedList9"/>
      <w:lvlText w:val="%9."/>
      <w:lvlJc w:val="left"/>
      <w:pPr>
        <w:tabs>
          <w:tab w:val="num" w:pos="720"/>
        </w:tabs>
        <w:ind w:left="720" w:hanging="533"/>
      </w:pPr>
      <w:rPr>
        <w:rFonts w:ascii="Arial" w:hAnsi="Arial" w:hint="default"/>
        <w:b w:val="0"/>
        <w:i w:val="0"/>
        <w:sz w:val="22"/>
      </w:rPr>
    </w:lvl>
  </w:abstractNum>
  <w:abstractNum w:abstractNumId="6" w15:restartNumberingAfterBreak="0">
    <w:nsid w:val="3FFE23BD"/>
    <w:multiLevelType w:val="hybridMultilevel"/>
    <w:tmpl w:val="9F4ED9A0"/>
    <w:lvl w:ilvl="0" w:tplc="F60EF74C">
      <w:start w:val="1"/>
      <w:numFmt w:val="decimal"/>
      <w:pStyle w:val="NumberedList"/>
      <w:lvlText w:val="%1."/>
      <w:lvlJc w:val="right"/>
      <w:pPr>
        <w:tabs>
          <w:tab w:val="num" w:pos="720"/>
        </w:tabs>
        <w:ind w:left="720" w:hanging="360"/>
      </w:pPr>
      <w:rPr>
        <w:rFonts w:ascii="Arial" w:hAnsi="Arial" w:hint="default"/>
        <w:b w:val="0"/>
        <w:i w:val="0"/>
        <w:sz w:val="22"/>
      </w:rPr>
    </w:lvl>
    <w:lvl w:ilvl="1" w:tplc="E0E06DF0" w:tentative="1">
      <w:start w:val="1"/>
      <w:numFmt w:val="lowerLetter"/>
      <w:lvlText w:val="%2."/>
      <w:lvlJc w:val="left"/>
      <w:pPr>
        <w:tabs>
          <w:tab w:val="num" w:pos="1440"/>
        </w:tabs>
        <w:ind w:left="1440" w:hanging="360"/>
      </w:pPr>
    </w:lvl>
    <w:lvl w:ilvl="2" w:tplc="FBAE0ADC" w:tentative="1">
      <w:start w:val="1"/>
      <w:numFmt w:val="lowerRoman"/>
      <w:lvlText w:val="%3."/>
      <w:lvlJc w:val="right"/>
      <w:pPr>
        <w:tabs>
          <w:tab w:val="num" w:pos="2160"/>
        </w:tabs>
        <w:ind w:left="2160" w:hanging="180"/>
      </w:pPr>
    </w:lvl>
    <w:lvl w:ilvl="3" w:tplc="FF227478" w:tentative="1">
      <w:start w:val="1"/>
      <w:numFmt w:val="decimal"/>
      <w:lvlText w:val="%4."/>
      <w:lvlJc w:val="left"/>
      <w:pPr>
        <w:tabs>
          <w:tab w:val="num" w:pos="2880"/>
        </w:tabs>
        <w:ind w:left="2880" w:hanging="360"/>
      </w:pPr>
    </w:lvl>
    <w:lvl w:ilvl="4" w:tplc="C226CA06" w:tentative="1">
      <w:start w:val="1"/>
      <w:numFmt w:val="lowerLetter"/>
      <w:lvlText w:val="%5."/>
      <w:lvlJc w:val="left"/>
      <w:pPr>
        <w:tabs>
          <w:tab w:val="num" w:pos="3600"/>
        </w:tabs>
        <w:ind w:left="3600" w:hanging="360"/>
      </w:pPr>
    </w:lvl>
    <w:lvl w:ilvl="5" w:tplc="CB46CBFE" w:tentative="1">
      <w:start w:val="1"/>
      <w:numFmt w:val="lowerRoman"/>
      <w:lvlText w:val="%6."/>
      <w:lvlJc w:val="right"/>
      <w:pPr>
        <w:tabs>
          <w:tab w:val="num" w:pos="4320"/>
        </w:tabs>
        <w:ind w:left="4320" w:hanging="180"/>
      </w:pPr>
    </w:lvl>
    <w:lvl w:ilvl="6" w:tplc="8538242E" w:tentative="1">
      <w:start w:val="1"/>
      <w:numFmt w:val="decimal"/>
      <w:lvlText w:val="%7."/>
      <w:lvlJc w:val="left"/>
      <w:pPr>
        <w:tabs>
          <w:tab w:val="num" w:pos="5040"/>
        </w:tabs>
        <w:ind w:left="5040" w:hanging="360"/>
      </w:pPr>
    </w:lvl>
    <w:lvl w:ilvl="7" w:tplc="609EE534" w:tentative="1">
      <w:start w:val="1"/>
      <w:numFmt w:val="lowerLetter"/>
      <w:lvlText w:val="%8."/>
      <w:lvlJc w:val="left"/>
      <w:pPr>
        <w:tabs>
          <w:tab w:val="num" w:pos="5760"/>
        </w:tabs>
        <w:ind w:left="5760" w:hanging="360"/>
      </w:pPr>
    </w:lvl>
    <w:lvl w:ilvl="8" w:tplc="C28E5ACE" w:tentative="1">
      <w:start w:val="1"/>
      <w:numFmt w:val="lowerRoman"/>
      <w:lvlText w:val="%9."/>
      <w:lvlJc w:val="right"/>
      <w:pPr>
        <w:tabs>
          <w:tab w:val="num" w:pos="6480"/>
        </w:tabs>
        <w:ind w:left="6480" w:hanging="180"/>
      </w:pPr>
    </w:lvl>
  </w:abstractNum>
  <w:abstractNum w:abstractNumId="7" w15:restartNumberingAfterBreak="0">
    <w:nsid w:val="40B06770"/>
    <w:multiLevelType w:val="hybridMultilevel"/>
    <w:tmpl w:val="E0BC0F0C"/>
    <w:lvl w:ilvl="0" w:tplc="C0D6763C">
      <w:start w:val="1"/>
      <w:numFmt w:val="decimal"/>
      <w:pStyle w:val="FigureNumberedList"/>
      <w:lvlText w:val="Figure %1."/>
      <w:lvlJc w:val="left"/>
      <w:pPr>
        <w:tabs>
          <w:tab w:val="num" w:pos="1080"/>
        </w:tabs>
        <w:ind w:left="1080" w:hanging="1080"/>
      </w:pPr>
      <w:rPr>
        <w:rFonts w:ascii="Arial" w:hAnsi="Arial" w:hint="default"/>
        <w:b/>
        <w:i w:val="0"/>
        <w:sz w:val="20"/>
      </w:rPr>
    </w:lvl>
    <w:lvl w:ilvl="1" w:tplc="3A3ECD6A" w:tentative="1">
      <w:start w:val="1"/>
      <w:numFmt w:val="lowerLetter"/>
      <w:lvlText w:val="%2."/>
      <w:lvlJc w:val="left"/>
      <w:pPr>
        <w:tabs>
          <w:tab w:val="num" w:pos="1440"/>
        </w:tabs>
        <w:ind w:left="1440" w:hanging="360"/>
      </w:pPr>
    </w:lvl>
    <w:lvl w:ilvl="2" w:tplc="17E636DA" w:tentative="1">
      <w:start w:val="1"/>
      <w:numFmt w:val="lowerRoman"/>
      <w:lvlText w:val="%3."/>
      <w:lvlJc w:val="right"/>
      <w:pPr>
        <w:tabs>
          <w:tab w:val="num" w:pos="2160"/>
        </w:tabs>
        <w:ind w:left="2160" w:hanging="180"/>
      </w:pPr>
    </w:lvl>
    <w:lvl w:ilvl="3" w:tplc="B43C09F2" w:tentative="1">
      <w:start w:val="1"/>
      <w:numFmt w:val="decimal"/>
      <w:lvlText w:val="%4."/>
      <w:lvlJc w:val="left"/>
      <w:pPr>
        <w:tabs>
          <w:tab w:val="num" w:pos="2880"/>
        </w:tabs>
        <w:ind w:left="2880" w:hanging="360"/>
      </w:pPr>
    </w:lvl>
    <w:lvl w:ilvl="4" w:tplc="F4F06682" w:tentative="1">
      <w:start w:val="1"/>
      <w:numFmt w:val="lowerLetter"/>
      <w:lvlText w:val="%5."/>
      <w:lvlJc w:val="left"/>
      <w:pPr>
        <w:tabs>
          <w:tab w:val="num" w:pos="3600"/>
        </w:tabs>
        <w:ind w:left="3600" w:hanging="360"/>
      </w:pPr>
    </w:lvl>
    <w:lvl w:ilvl="5" w:tplc="1A58F90A" w:tentative="1">
      <w:start w:val="1"/>
      <w:numFmt w:val="lowerRoman"/>
      <w:lvlText w:val="%6."/>
      <w:lvlJc w:val="right"/>
      <w:pPr>
        <w:tabs>
          <w:tab w:val="num" w:pos="4320"/>
        </w:tabs>
        <w:ind w:left="4320" w:hanging="180"/>
      </w:pPr>
    </w:lvl>
    <w:lvl w:ilvl="6" w:tplc="9FC610CC" w:tentative="1">
      <w:start w:val="1"/>
      <w:numFmt w:val="decimal"/>
      <w:lvlText w:val="%7."/>
      <w:lvlJc w:val="left"/>
      <w:pPr>
        <w:tabs>
          <w:tab w:val="num" w:pos="5040"/>
        </w:tabs>
        <w:ind w:left="5040" w:hanging="360"/>
      </w:pPr>
    </w:lvl>
    <w:lvl w:ilvl="7" w:tplc="AF749B4A" w:tentative="1">
      <w:start w:val="1"/>
      <w:numFmt w:val="lowerLetter"/>
      <w:lvlText w:val="%8."/>
      <w:lvlJc w:val="left"/>
      <w:pPr>
        <w:tabs>
          <w:tab w:val="num" w:pos="5760"/>
        </w:tabs>
        <w:ind w:left="5760" w:hanging="360"/>
      </w:pPr>
    </w:lvl>
    <w:lvl w:ilvl="8" w:tplc="CC682528" w:tentative="1">
      <w:start w:val="1"/>
      <w:numFmt w:val="lowerRoman"/>
      <w:lvlText w:val="%9."/>
      <w:lvlJc w:val="right"/>
      <w:pPr>
        <w:tabs>
          <w:tab w:val="num" w:pos="6480"/>
        </w:tabs>
        <w:ind w:left="6480" w:hanging="180"/>
      </w:pPr>
    </w:lvl>
  </w:abstractNum>
  <w:abstractNum w:abstractNumId="8" w15:restartNumberingAfterBreak="0">
    <w:nsid w:val="4202767A"/>
    <w:multiLevelType w:val="multilevel"/>
    <w:tmpl w:val="BFF6B534"/>
    <w:styleLink w:val="Num-Headings"/>
    <w:lvl w:ilvl="0">
      <w:start w:val="1"/>
      <w:numFmt w:val="decimal"/>
      <w:lvlText w:val="%1.0"/>
      <w:lvlJc w:val="left"/>
      <w:pPr>
        <w:tabs>
          <w:tab w:val="num" w:pos="720"/>
        </w:tabs>
        <w:ind w:left="720" w:hanging="720"/>
      </w:pPr>
      <w:rPr>
        <w:rFonts w:ascii="Arial" w:hAnsi="Arial" w:hint="default"/>
        <w:b/>
        <w:i w:val="0"/>
        <w:sz w:val="32"/>
      </w:rPr>
    </w:lvl>
    <w:lvl w:ilvl="1">
      <w:start w:val="1"/>
      <w:numFmt w:val="decimal"/>
      <w:lvlText w:val="%1.%2"/>
      <w:lvlJc w:val="left"/>
      <w:pPr>
        <w:tabs>
          <w:tab w:val="num" w:pos="720"/>
        </w:tabs>
        <w:ind w:left="720" w:hanging="720"/>
      </w:pPr>
      <w:rPr>
        <w:rFonts w:ascii="Arial" w:hAnsi="Arial" w:hint="default"/>
        <w:b/>
        <w:i w:val="0"/>
        <w:spacing w:val="10"/>
        <w:sz w:val="28"/>
      </w:rPr>
    </w:lvl>
    <w:lvl w:ilvl="2">
      <w:start w:val="1"/>
      <w:numFmt w:val="decimal"/>
      <w:lvlText w:val="%1.%2.%3"/>
      <w:lvlJc w:val="left"/>
      <w:pPr>
        <w:tabs>
          <w:tab w:val="num" w:pos="907"/>
        </w:tabs>
        <w:ind w:left="907" w:hanging="907"/>
      </w:pPr>
      <w:rPr>
        <w:rFonts w:ascii="Arial" w:hAnsi="Arial" w:hint="default"/>
        <w:b/>
        <w:i w:val="0"/>
        <w:sz w:val="24"/>
      </w:rPr>
    </w:lvl>
    <w:lvl w:ilvl="3">
      <w:start w:val="1"/>
      <w:numFmt w:val="decimal"/>
      <w:lvlText w:val="%1.%2.%3.%4"/>
      <w:lvlJc w:val="left"/>
      <w:pPr>
        <w:tabs>
          <w:tab w:val="num" w:pos="994"/>
        </w:tabs>
        <w:ind w:left="994" w:hanging="994"/>
      </w:pPr>
      <w:rPr>
        <w:rFonts w:ascii="Arial" w:hAnsi="Arial" w:hint="default"/>
        <w:b/>
        <w:i/>
        <w:sz w:val="24"/>
      </w:rPr>
    </w:lvl>
    <w:lvl w:ilvl="4">
      <w:start w:val="1"/>
      <w:numFmt w:val="decimal"/>
      <w:lvlText w:val="%1.%2.%3.%4.%5"/>
      <w:lvlJc w:val="left"/>
      <w:pPr>
        <w:tabs>
          <w:tab w:val="num" w:pos="1166"/>
        </w:tabs>
        <w:ind w:left="1166" w:hanging="1166"/>
      </w:pPr>
      <w:rPr>
        <w:rFonts w:ascii="Arial" w:hAnsi="Arial" w:hint="default"/>
        <w:b/>
        <w:i/>
        <w:sz w:val="24"/>
        <w:u w:val="single"/>
      </w:rPr>
    </w:lvl>
    <w:lvl w:ilvl="5">
      <w:start w:val="1"/>
      <w:numFmt w:val="decimal"/>
      <w:lvlText w:val="%1.%2.%3.%4.%5.%6"/>
      <w:lvlJc w:val="left"/>
      <w:pPr>
        <w:tabs>
          <w:tab w:val="num" w:pos="1440"/>
        </w:tabs>
        <w:ind w:left="1440" w:hanging="1440"/>
      </w:pPr>
      <w:rPr>
        <w:rFonts w:ascii="Arial" w:hAnsi="Arial" w:hint="default"/>
        <w:b w:val="0"/>
        <w:i w:val="0"/>
        <w:sz w:val="24"/>
      </w:rPr>
    </w:lvl>
    <w:lvl w:ilvl="6">
      <w:start w:val="1"/>
      <w:numFmt w:val="decimal"/>
      <w:lvlText w:val="%1.%2.%3.%4.%5.%6.%7"/>
      <w:lvlJc w:val="left"/>
      <w:pPr>
        <w:tabs>
          <w:tab w:val="num" w:pos="1627"/>
        </w:tabs>
        <w:ind w:left="1627" w:hanging="1627"/>
      </w:pPr>
      <w:rPr>
        <w:rFonts w:ascii="Arial" w:hAnsi="Arial" w:hint="default"/>
        <w:b w:val="0"/>
        <w:i/>
        <w:sz w:val="24"/>
        <w:u w:val="none"/>
      </w:rPr>
    </w:lvl>
    <w:lvl w:ilvl="7">
      <w:start w:val="1"/>
      <w:numFmt w:val="decimal"/>
      <w:lvlText w:val="%1.%2.%3.%4.%5.%6.%7.%8"/>
      <w:lvlJc w:val="left"/>
      <w:pPr>
        <w:tabs>
          <w:tab w:val="num" w:pos="1714"/>
        </w:tabs>
        <w:ind w:left="1714" w:hanging="1714"/>
      </w:pPr>
      <w:rPr>
        <w:rFonts w:ascii="Arial" w:hAnsi="Arial" w:hint="default"/>
        <w:b w:val="0"/>
        <w:i/>
        <w:sz w:val="24"/>
        <w:u w:val="single"/>
      </w:rPr>
    </w:lvl>
    <w:lvl w:ilvl="8">
      <w:start w:val="1"/>
      <w:numFmt w:val="decimal"/>
      <w:lvlText w:val="%1.%2.%3.%4.%5.%6.%7.%8.%9"/>
      <w:lvlJc w:val="left"/>
      <w:pPr>
        <w:tabs>
          <w:tab w:val="num" w:pos="1886"/>
        </w:tabs>
        <w:ind w:left="1886" w:hanging="1886"/>
      </w:pPr>
      <w:rPr>
        <w:rFonts w:ascii="Arial" w:hAnsi="Arial" w:hint="default"/>
        <w:b/>
        <w:i w:val="0"/>
        <w:sz w:val="22"/>
        <w:u w:val="none"/>
      </w:rPr>
    </w:lvl>
  </w:abstractNum>
  <w:abstractNum w:abstractNumId="9" w15:restartNumberingAfterBreak="0">
    <w:nsid w:val="4281052F"/>
    <w:multiLevelType w:val="multilevel"/>
    <w:tmpl w:val="343A1B6E"/>
    <w:styleLink w:val="Bullets2"/>
    <w:lvl w:ilvl="0">
      <w:start w:val="1"/>
      <w:numFmt w:val="bullet"/>
      <w:pStyle w:val="bullet6"/>
      <w:lvlText w:val=""/>
      <w:lvlJc w:val="left"/>
      <w:pPr>
        <w:tabs>
          <w:tab w:val="num" w:pos="720"/>
        </w:tabs>
        <w:ind w:left="720" w:hanging="360"/>
      </w:pPr>
      <w:rPr>
        <w:rFonts w:ascii="Wingdings" w:hAnsi="Wingdings" w:hint="default"/>
        <w:b w:val="0"/>
        <w:i w:val="0"/>
        <w:sz w:val="22"/>
      </w:rPr>
    </w:lvl>
    <w:lvl w:ilvl="1">
      <w:start w:val="1"/>
      <w:numFmt w:val="bullet"/>
      <w:lvlRestart w:val="0"/>
      <w:pStyle w:val="bullet7"/>
      <w:lvlText w:val=""/>
      <w:lvlJc w:val="left"/>
      <w:pPr>
        <w:tabs>
          <w:tab w:val="num" w:pos="1080"/>
        </w:tabs>
        <w:ind w:left="1080" w:hanging="360"/>
      </w:pPr>
      <w:rPr>
        <w:rFonts w:ascii="Wingdings" w:hAnsi="Wingdings" w:hint="default"/>
        <w:b w:val="0"/>
        <w:i w:val="0"/>
        <w:spacing w:val="10"/>
        <w:sz w:val="22"/>
      </w:rPr>
    </w:lvl>
    <w:lvl w:ilvl="2">
      <w:start w:val="1"/>
      <w:numFmt w:val="bullet"/>
      <w:lvlRestart w:val="0"/>
      <w:pStyle w:val="bullet8"/>
      <w:lvlText w:val=""/>
      <w:lvlJc w:val="left"/>
      <w:pPr>
        <w:tabs>
          <w:tab w:val="num" w:pos="720"/>
        </w:tabs>
        <w:ind w:left="720" w:hanging="360"/>
      </w:pPr>
      <w:rPr>
        <w:rFonts w:ascii="Wingdings" w:hAnsi="Wingdings" w:hint="default"/>
        <w:b w:val="0"/>
        <w:i w:val="0"/>
        <w:sz w:val="22"/>
      </w:rPr>
    </w:lvl>
    <w:lvl w:ilvl="3">
      <w:start w:val="1"/>
      <w:numFmt w:val="bullet"/>
      <w:lvlRestart w:val="0"/>
      <w:pStyle w:val="bullet9"/>
      <w:lvlText w:val=""/>
      <w:lvlJc w:val="left"/>
      <w:pPr>
        <w:tabs>
          <w:tab w:val="num" w:pos="1080"/>
        </w:tabs>
        <w:ind w:left="1080" w:hanging="360"/>
      </w:pPr>
      <w:rPr>
        <w:rFonts w:ascii="Wingdings" w:hAnsi="Wingdings" w:cs="Arial" w:hint="default"/>
        <w:b w:val="0"/>
        <w:bCs w:val="0"/>
        <w:i w:val="0"/>
        <w:iCs w:val="0"/>
        <w:sz w:val="22"/>
        <w:szCs w:val="24"/>
      </w:rPr>
    </w:lvl>
    <w:lvl w:ilvl="4">
      <w:start w:val="1"/>
      <w:numFmt w:val="bullet"/>
      <w:lvlRestart w:val="0"/>
      <w:pStyle w:val="bullet10"/>
      <w:lvlText w:val=""/>
      <w:lvlJc w:val="left"/>
      <w:pPr>
        <w:tabs>
          <w:tab w:val="num" w:pos="720"/>
        </w:tabs>
        <w:ind w:left="720" w:hanging="360"/>
      </w:pPr>
      <w:rPr>
        <w:rFonts w:ascii="Wingdings" w:hAnsi="Wingdings" w:hint="default"/>
        <w:b w:val="0"/>
        <w:i w:val="0"/>
        <w:sz w:val="28"/>
        <w:u w:val="none"/>
      </w:rPr>
    </w:lvl>
    <w:lvl w:ilvl="5">
      <w:start w:val="1"/>
      <w:numFmt w:val="bullet"/>
      <w:lvlRestart w:val="0"/>
      <w:pStyle w:val="bullet11"/>
      <w:lvlText w:val=""/>
      <w:lvlJc w:val="left"/>
      <w:pPr>
        <w:tabs>
          <w:tab w:val="num" w:pos="1080"/>
        </w:tabs>
        <w:ind w:left="1080" w:hanging="360"/>
      </w:pPr>
      <w:rPr>
        <w:rFonts w:ascii="Wingdings" w:hAnsi="Wingdings" w:hint="default"/>
        <w:b w:val="0"/>
        <w:i w:val="0"/>
        <w:sz w:val="28"/>
      </w:rPr>
    </w:lvl>
    <w:lvl w:ilvl="6">
      <w:start w:val="1"/>
      <w:numFmt w:val="bullet"/>
      <w:lvlRestart w:val="0"/>
      <w:pStyle w:val="bullet12"/>
      <w:lvlText w:val=""/>
      <w:lvlJc w:val="left"/>
      <w:pPr>
        <w:tabs>
          <w:tab w:val="num" w:pos="720"/>
        </w:tabs>
        <w:ind w:left="720" w:hanging="360"/>
      </w:pPr>
      <w:rPr>
        <w:rFonts w:ascii="Wingdings" w:hAnsi="Wingdings" w:hint="default"/>
        <w:b w:val="0"/>
        <w:i w:val="0"/>
        <w:sz w:val="28"/>
      </w:rPr>
    </w:lvl>
    <w:lvl w:ilvl="7">
      <w:start w:val="1"/>
      <w:numFmt w:val="bullet"/>
      <w:lvlRestart w:val="0"/>
      <w:pStyle w:val="bullet13"/>
      <w:lvlText w:val=""/>
      <w:lvlJc w:val="left"/>
      <w:pPr>
        <w:tabs>
          <w:tab w:val="num" w:pos="1080"/>
        </w:tabs>
        <w:ind w:left="1080" w:hanging="360"/>
      </w:pPr>
      <w:rPr>
        <w:rFonts w:ascii="Wingdings" w:hAnsi="Wingdings" w:hint="default"/>
        <w:b w:val="0"/>
        <w:i w:val="0"/>
        <w:sz w:val="28"/>
        <w:u w:val="none"/>
      </w:rPr>
    </w:lvl>
    <w:lvl w:ilvl="8">
      <w:start w:val="1"/>
      <w:numFmt w:val="bullet"/>
      <w:lvlRestart w:val="0"/>
      <w:pStyle w:val="bullet14"/>
      <w:lvlText w:val=""/>
      <w:lvlJc w:val="left"/>
      <w:pPr>
        <w:tabs>
          <w:tab w:val="num" w:pos="1080"/>
        </w:tabs>
        <w:ind w:left="1080" w:hanging="360"/>
      </w:pPr>
      <w:rPr>
        <w:rFonts w:ascii="Symbol" w:hAnsi="Symbol" w:hint="default"/>
        <w:b w:val="0"/>
        <w:i w:val="0"/>
        <w:sz w:val="22"/>
      </w:rPr>
    </w:lvl>
  </w:abstractNum>
  <w:abstractNum w:abstractNumId="10" w15:restartNumberingAfterBreak="0">
    <w:nsid w:val="47F6605A"/>
    <w:multiLevelType w:val="hybridMultilevel"/>
    <w:tmpl w:val="56FEB206"/>
    <w:lvl w:ilvl="0" w:tplc="160C2392">
      <w:start w:val="1"/>
      <w:numFmt w:val="decimal"/>
      <w:pStyle w:val="TableNumberedList"/>
      <w:lvlText w:val="Table %1."/>
      <w:lvlJc w:val="left"/>
      <w:pPr>
        <w:tabs>
          <w:tab w:val="num" w:pos="1080"/>
        </w:tabs>
        <w:ind w:left="1080" w:hanging="1080"/>
      </w:pPr>
      <w:rPr>
        <w:rFonts w:ascii="Arial" w:hAnsi="Arial" w:hint="default"/>
        <w:b/>
        <w:i w:val="0"/>
        <w:sz w:val="20"/>
      </w:rPr>
    </w:lvl>
    <w:lvl w:ilvl="1" w:tplc="198A2C8A" w:tentative="1">
      <w:start w:val="1"/>
      <w:numFmt w:val="lowerLetter"/>
      <w:lvlText w:val="%2."/>
      <w:lvlJc w:val="left"/>
      <w:pPr>
        <w:tabs>
          <w:tab w:val="num" w:pos="1440"/>
        </w:tabs>
        <w:ind w:left="1440" w:hanging="360"/>
      </w:pPr>
    </w:lvl>
    <w:lvl w:ilvl="2" w:tplc="FD38F48E" w:tentative="1">
      <w:start w:val="1"/>
      <w:numFmt w:val="lowerRoman"/>
      <w:lvlText w:val="%3."/>
      <w:lvlJc w:val="right"/>
      <w:pPr>
        <w:tabs>
          <w:tab w:val="num" w:pos="2160"/>
        </w:tabs>
        <w:ind w:left="2160" w:hanging="180"/>
      </w:pPr>
    </w:lvl>
    <w:lvl w:ilvl="3" w:tplc="B19413E2" w:tentative="1">
      <w:start w:val="1"/>
      <w:numFmt w:val="decimal"/>
      <w:lvlText w:val="%4."/>
      <w:lvlJc w:val="left"/>
      <w:pPr>
        <w:tabs>
          <w:tab w:val="num" w:pos="2880"/>
        </w:tabs>
        <w:ind w:left="2880" w:hanging="360"/>
      </w:pPr>
    </w:lvl>
    <w:lvl w:ilvl="4" w:tplc="48381808" w:tentative="1">
      <w:start w:val="1"/>
      <w:numFmt w:val="lowerLetter"/>
      <w:lvlText w:val="%5."/>
      <w:lvlJc w:val="left"/>
      <w:pPr>
        <w:tabs>
          <w:tab w:val="num" w:pos="3600"/>
        </w:tabs>
        <w:ind w:left="3600" w:hanging="360"/>
      </w:pPr>
    </w:lvl>
    <w:lvl w:ilvl="5" w:tplc="69F09AAC" w:tentative="1">
      <w:start w:val="1"/>
      <w:numFmt w:val="lowerRoman"/>
      <w:lvlText w:val="%6."/>
      <w:lvlJc w:val="right"/>
      <w:pPr>
        <w:tabs>
          <w:tab w:val="num" w:pos="4320"/>
        </w:tabs>
        <w:ind w:left="4320" w:hanging="180"/>
      </w:pPr>
    </w:lvl>
    <w:lvl w:ilvl="6" w:tplc="23C49E60" w:tentative="1">
      <w:start w:val="1"/>
      <w:numFmt w:val="decimal"/>
      <w:lvlText w:val="%7."/>
      <w:lvlJc w:val="left"/>
      <w:pPr>
        <w:tabs>
          <w:tab w:val="num" w:pos="5040"/>
        </w:tabs>
        <w:ind w:left="5040" w:hanging="360"/>
      </w:pPr>
    </w:lvl>
    <w:lvl w:ilvl="7" w:tplc="753ABE3C" w:tentative="1">
      <w:start w:val="1"/>
      <w:numFmt w:val="lowerLetter"/>
      <w:lvlText w:val="%8."/>
      <w:lvlJc w:val="left"/>
      <w:pPr>
        <w:tabs>
          <w:tab w:val="num" w:pos="5760"/>
        </w:tabs>
        <w:ind w:left="5760" w:hanging="360"/>
      </w:pPr>
    </w:lvl>
    <w:lvl w:ilvl="8" w:tplc="A446A02A" w:tentative="1">
      <w:start w:val="1"/>
      <w:numFmt w:val="lowerRoman"/>
      <w:lvlText w:val="%9."/>
      <w:lvlJc w:val="right"/>
      <w:pPr>
        <w:tabs>
          <w:tab w:val="num" w:pos="6480"/>
        </w:tabs>
        <w:ind w:left="6480" w:hanging="180"/>
      </w:pPr>
    </w:lvl>
  </w:abstractNum>
  <w:abstractNum w:abstractNumId="11" w15:restartNumberingAfterBreak="0">
    <w:nsid w:val="4C8603AB"/>
    <w:multiLevelType w:val="multilevel"/>
    <w:tmpl w:val="5D9A4B32"/>
    <w:styleLink w:val="Headings"/>
    <w:lvl w:ilvl="0">
      <w:start w:val="1"/>
      <w:numFmt w:val="none"/>
      <w:suff w:val="nothing"/>
      <w:lvlText w:val="%1"/>
      <w:lvlJc w:val="left"/>
      <w:pPr>
        <w:ind w:left="0" w:firstLine="0"/>
      </w:pPr>
      <w:rPr>
        <w:rFonts w:ascii="Arial" w:hAnsi="Arial" w:hint="default"/>
        <w:b/>
        <w:i w:val="0"/>
        <w:sz w:val="32"/>
      </w:rPr>
    </w:lvl>
    <w:lvl w:ilvl="1">
      <w:start w:val="1"/>
      <w:numFmt w:val="none"/>
      <w:lvlRestart w:val="0"/>
      <w:suff w:val="nothing"/>
      <w:lvlText w:val="%2"/>
      <w:lvlJc w:val="left"/>
      <w:pPr>
        <w:ind w:left="0" w:firstLine="0"/>
      </w:pPr>
      <w:rPr>
        <w:rFonts w:ascii="Arial" w:hAnsi="Arial" w:hint="default"/>
        <w:b/>
        <w:i w:val="0"/>
        <w:spacing w:val="10"/>
        <w:sz w:val="28"/>
      </w:rPr>
    </w:lvl>
    <w:lvl w:ilvl="2">
      <w:start w:val="1"/>
      <w:numFmt w:val="none"/>
      <w:lvlRestart w:val="0"/>
      <w:pStyle w:val="Heading3"/>
      <w:suff w:val="nothing"/>
      <w:lvlText w:val="%3"/>
      <w:lvlJc w:val="left"/>
      <w:pPr>
        <w:ind w:left="0" w:firstLine="0"/>
      </w:pPr>
      <w:rPr>
        <w:rFonts w:ascii="Arial" w:hAnsi="Arial" w:hint="default"/>
        <w:b/>
        <w:i w:val="0"/>
        <w:sz w:val="24"/>
      </w:rPr>
    </w:lvl>
    <w:lvl w:ilvl="3">
      <w:start w:val="1"/>
      <w:numFmt w:val="none"/>
      <w:lvlRestart w:val="0"/>
      <w:pStyle w:val="Heading4"/>
      <w:suff w:val="nothing"/>
      <w:lvlText w:val=""/>
      <w:lvlJc w:val="left"/>
      <w:pPr>
        <w:ind w:left="0" w:firstLine="0"/>
      </w:pPr>
      <w:rPr>
        <w:rFonts w:ascii="Arial" w:hAnsi="Arial" w:hint="default"/>
        <w:b/>
        <w:bCs w:val="0"/>
        <w:i/>
        <w:iCs w:val="0"/>
        <w:sz w:val="24"/>
        <w:szCs w:val="24"/>
      </w:rPr>
    </w:lvl>
    <w:lvl w:ilvl="4">
      <w:start w:val="1"/>
      <w:numFmt w:val="none"/>
      <w:lvlRestart w:val="0"/>
      <w:pStyle w:val="Heading5"/>
      <w:suff w:val="nothing"/>
      <w:lvlText w:val=""/>
      <w:lvlJc w:val="left"/>
      <w:pPr>
        <w:ind w:left="0" w:firstLine="0"/>
      </w:pPr>
      <w:rPr>
        <w:rFonts w:ascii="Arial" w:hAnsi="Arial" w:hint="default"/>
        <w:b/>
        <w:i/>
        <w:sz w:val="24"/>
        <w:u w:val="single"/>
      </w:rPr>
    </w:lvl>
    <w:lvl w:ilvl="5">
      <w:start w:val="1"/>
      <w:numFmt w:val="none"/>
      <w:lvlRestart w:val="0"/>
      <w:pStyle w:val="Heading6"/>
      <w:suff w:val="nothing"/>
      <w:lvlText w:val=""/>
      <w:lvlJc w:val="left"/>
      <w:pPr>
        <w:ind w:left="0" w:firstLine="0"/>
      </w:pPr>
      <w:rPr>
        <w:rFonts w:ascii="Arial" w:hAnsi="Arial" w:hint="default"/>
        <w:b w:val="0"/>
        <w:i w:val="0"/>
        <w:sz w:val="24"/>
      </w:rPr>
    </w:lvl>
    <w:lvl w:ilvl="6">
      <w:start w:val="1"/>
      <w:numFmt w:val="none"/>
      <w:lvlRestart w:val="0"/>
      <w:pStyle w:val="Heading7"/>
      <w:suff w:val="nothing"/>
      <w:lvlText w:val=""/>
      <w:lvlJc w:val="left"/>
      <w:pPr>
        <w:ind w:left="0" w:firstLine="0"/>
      </w:pPr>
      <w:rPr>
        <w:rFonts w:ascii="Arial" w:hAnsi="Arial" w:hint="default"/>
        <w:b w:val="0"/>
        <w:i/>
        <w:sz w:val="24"/>
      </w:rPr>
    </w:lvl>
    <w:lvl w:ilvl="7">
      <w:start w:val="1"/>
      <w:numFmt w:val="none"/>
      <w:lvlRestart w:val="0"/>
      <w:pStyle w:val="Heading8"/>
      <w:suff w:val="nothing"/>
      <w:lvlText w:val=""/>
      <w:lvlJc w:val="left"/>
      <w:pPr>
        <w:ind w:left="0" w:firstLine="0"/>
      </w:pPr>
      <w:rPr>
        <w:rFonts w:ascii="Arial" w:hAnsi="Arial" w:hint="default"/>
        <w:b w:val="0"/>
        <w:i/>
        <w:sz w:val="24"/>
        <w:u w:val="single"/>
      </w:rPr>
    </w:lvl>
    <w:lvl w:ilvl="8">
      <w:start w:val="1"/>
      <w:numFmt w:val="none"/>
      <w:lvlRestart w:val="0"/>
      <w:pStyle w:val="Heading9"/>
      <w:suff w:val="nothing"/>
      <w:lvlText w:val=""/>
      <w:lvlJc w:val="left"/>
      <w:pPr>
        <w:ind w:left="0" w:firstLine="0"/>
      </w:pPr>
      <w:rPr>
        <w:rFonts w:ascii="Arial" w:hAnsi="Arial" w:hint="default"/>
        <w:b/>
        <w:i w:val="0"/>
        <w:sz w:val="22"/>
      </w:rPr>
    </w:lvl>
  </w:abstractNum>
  <w:abstractNum w:abstractNumId="12" w15:restartNumberingAfterBreak="0">
    <w:nsid w:val="4F2454D4"/>
    <w:multiLevelType w:val="multilevel"/>
    <w:tmpl w:val="27A656BA"/>
    <w:styleLink w:val="TableBullets"/>
    <w:lvl w:ilvl="0">
      <w:start w:val="1"/>
      <w:numFmt w:val="bullet"/>
      <w:pStyle w:val="TableBullet1"/>
      <w:lvlText w:val=""/>
      <w:lvlJc w:val="left"/>
      <w:pPr>
        <w:tabs>
          <w:tab w:val="num" w:pos="360"/>
        </w:tabs>
        <w:ind w:left="360" w:hanging="274"/>
      </w:pPr>
      <w:rPr>
        <w:rFonts w:ascii="Wingdings" w:hAnsi="Wingdings" w:hint="default"/>
        <w:b w:val="0"/>
        <w:i w:val="0"/>
        <w:color w:val="002060"/>
        <w:sz w:val="20"/>
      </w:rPr>
    </w:lvl>
    <w:lvl w:ilvl="1">
      <w:start w:val="1"/>
      <w:numFmt w:val="none"/>
      <w:lvlRestart w:val="0"/>
      <w:pStyle w:val="TableBullet1indent"/>
      <w:suff w:val="nothing"/>
      <w:lvlText w:val="%2"/>
      <w:lvlJc w:val="left"/>
      <w:pPr>
        <w:ind w:left="360" w:firstLine="0"/>
      </w:pPr>
      <w:rPr>
        <w:rFonts w:ascii="Arial" w:hAnsi="Arial" w:hint="default"/>
        <w:b w:val="0"/>
        <w:i w:val="0"/>
        <w:spacing w:val="10"/>
        <w:sz w:val="22"/>
      </w:rPr>
    </w:lvl>
    <w:lvl w:ilvl="2">
      <w:start w:val="1"/>
      <w:numFmt w:val="bullet"/>
      <w:lvlRestart w:val="0"/>
      <w:pStyle w:val="TableBullet2"/>
      <w:lvlText w:val="–"/>
      <w:lvlJc w:val="left"/>
      <w:pPr>
        <w:tabs>
          <w:tab w:val="num" w:pos="720"/>
        </w:tabs>
        <w:ind w:left="720" w:hanging="360"/>
      </w:pPr>
      <w:rPr>
        <w:rFonts w:ascii="Arial" w:hAnsi="Arial" w:hint="default"/>
        <w:b w:val="0"/>
        <w:i w:val="0"/>
        <w:color w:val="auto"/>
        <w:sz w:val="20"/>
      </w:rPr>
    </w:lvl>
    <w:lvl w:ilvl="3">
      <w:start w:val="1"/>
      <w:numFmt w:val="none"/>
      <w:lvlRestart w:val="0"/>
      <w:pStyle w:val="TableBullet2indent"/>
      <w:suff w:val="nothing"/>
      <w:lvlText w:val=""/>
      <w:lvlJc w:val="left"/>
      <w:pPr>
        <w:ind w:left="720" w:firstLine="0"/>
      </w:pPr>
      <w:rPr>
        <w:rFonts w:ascii="Arial" w:hAnsi="Arial" w:cs="Arial" w:hint="default"/>
        <w:b w:val="0"/>
        <w:bCs w:val="0"/>
        <w:i w:val="0"/>
        <w:iCs w:val="0"/>
        <w:sz w:val="24"/>
        <w:szCs w:val="24"/>
      </w:rPr>
    </w:lvl>
    <w:lvl w:ilvl="4">
      <w:start w:val="1"/>
      <w:numFmt w:val="bullet"/>
      <w:pStyle w:val="TableBullet3"/>
      <w:lvlText w:val=""/>
      <w:lvlJc w:val="left"/>
      <w:pPr>
        <w:tabs>
          <w:tab w:val="num" w:pos="994"/>
        </w:tabs>
        <w:ind w:left="994" w:hanging="274"/>
      </w:pPr>
      <w:rPr>
        <w:rFonts w:ascii="Wingdings" w:hAnsi="Wingdings" w:hint="default"/>
        <w:b w:val="0"/>
        <w:i w:val="0"/>
        <w:color w:val="auto"/>
        <w:sz w:val="20"/>
        <w:u w:val="none"/>
      </w:rPr>
    </w:lvl>
    <w:lvl w:ilvl="5">
      <w:start w:val="1"/>
      <w:numFmt w:val="none"/>
      <w:lvlRestart w:val="0"/>
      <w:pStyle w:val="TableBullet3indent"/>
      <w:suff w:val="nothing"/>
      <w:lvlText w:val=""/>
      <w:lvlJc w:val="left"/>
      <w:pPr>
        <w:ind w:left="994" w:firstLine="0"/>
      </w:pPr>
      <w:rPr>
        <w:rFonts w:ascii="Arial" w:hAnsi="Arial" w:hint="default"/>
        <w:b w:val="0"/>
        <w:i w:val="0"/>
        <w:sz w:val="22"/>
      </w:rPr>
    </w:lvl>
    <w:lvl w:ilvl="6">
      <w:start w:val="1"/>
      <w:numFmt w:val="bullet"/>
      <w:pStyle w:val="TableBullet4"/>
      <w:lvlText w:val="−"/>
      <w:lvlJc w:val="left"/>
      <w:pPr>
        <w:tabs>
          <w:tab w:val="num" w:pos="1267"/>
        </w:tabs>
        <w:ind w:left="1267" w:hanging="273"/>
      </w:pPr>
      <w:rPr>
        <w:rFonts w:ascii="Arial" w:hAnsi="Arial" w:hint="default"/>
        <w:b w:val="0"/>
        <w:i w:val="0"/>
        <w:color w:val="auto"/>
        <w:sz w:val="24"/>
      </w:rPr>
    </w:lvl>
    <w:lvl w:ilvl="7">
      <w:start w:val="1"/>
      <w:numFmt w:val="none"/>
      <w:lvlRestart w:val="0"/>
      <w:pStyle w:val="TableBullet4indent"/>
      <w:suff w:val="nothing"/>
      <w:lvlText w:val=""/>
      <w:lvlJc w:val="left"/>
      <w:pPr>
        <w:ind w:left="1267" w:firstLine="0"/>
      </w:pPr>
      <w:rPr>
        <w:rFonts w:ascii="Arial" w:hAnsi="Arial" w:hint="default"/>
        <w:b w:val="0"/>
        <w:i w:val="0"/>
        <w:sz w:val="22"/>
        <w:u w:val="none"/>
      </w:rPr>
    </w:lvl>
    <w:lvl w:ilvl="8">
      <w:start w:val="1"/>
      <w:numFmt w:val="bullet"/>
      <w:lvlRestart w:val="0"/>
      <w:pStyle w:val="TableBullet5"/>
      <w:lvlText w:val="•"/>
      <w:lvlJc w:val="left"/>
      <w:pPr>
        <w:tabs>
          <w:tab w:val="num" w:pos="360"/>
        </w:tabs>
        <w:ind w:left="360" w:hanging="274"/>
      </w:pPr>
      <w:rPr>
        <w:rFonts w:ascii="Arial" w:hAnsi="Arial" w:hint="default"/>
        <w:b w:val="0"/>
        <w:i w:val="0"/>
        <w:color w:val="auto"/>
        <w:sz w:val="20"/>
      </w:rPr>
    </w:lvl>
  </w:abstractNum>
  <w:abstractNum w:abstractNumId="13" w15:restartNumberingAfterBreak="0">
    <w:nsid w:val="58045CDC"/>
    <w:multiLevelType w:val="multilevel"/>
    <w:tmpl w:val="3620CD9C"/>
    <w:styleLink w:val="PhasesTasksSteps"/>
    <w:lvl w:ilvl="0">
      <w:start w:val="1"/>
      <w:numFmt w:val="upperRoman"/>
      <w:lvlText w:val="Phase %1."/>
      <w:lvlJc w:val="left"/>
      <w:pPr>
        <w:tabs>
          <w:tab w:val="num" w:pos="1440"/>
        </w:tabs>
        <w:ind w:left="1440" w:hanging="1440"/>
      </w:pPr>
      <w:rPr>
        <w:rFonts w:ascii="Arial" w:hAnsi="Arial" w:hint="default"/>
        <w:b/>
        <w:i w:val="0"/>
        <w:sz w:val="24"/>
      </w:rPr>
    </w:lvl>
    <w:lvl w:ilvl="1">
      <w:start w:val="1"/>
      <w:numFmt w:val="decimal"/>
      <w:lvlText w:val="Task %2."/>
      <w:lvlJc w:val="left"/>
      <w:pPr>
        <w:tabs>
          <w:tab w:val="num" w:pos="1080"/>
        </w:tabs>
        <w:ind w:left="1080" w:hanging="1080"/>
      </w:pPr>
      <w:rPr>
        <w:rFonts w:ascii="Arial" w:hAnsi="Arial" w:hint="default"/>
        <w:b/>
        <w:i/>
        <w:sz w:val="24"/>
      </w:rPr>
    </w:lvl>
    <w:lvl w:ilvl="2">
      <w:start w:val="1"/>
      <w:numFmt w:val="decimal"/>
      <w:lvlText w:val="Step %3."/>
      <w:lvlJc w:val="left"/>
      <w:pPr>
        <w:tabs>
          <w:tab w:val="num" w:pos="1080"/>
        </w:tabs>
        <w:ind w:left="1080" w:hanging="1080"/>
      </w:pPr>
      <w:rPr>
        <w:rFonts w:ascii="Arial" w:hAnsi="Arial" w:hint="default"/>
        <w:b w:val="0"/>
        <w:i w:val="0"/>
        <w:sz w:val="24"/>
      </w:rPr>
    </w:lvl>
    <w:lvl w:ilvl="3">
      <w:start w:val="1"/>
      <w:numFmt w:val="none"/>
      <w:lvlRestart w:val="0"/>
      <w:pStyle w:val="Deliverables"/>
      <w:suff w:val="nothing"/>
      <w:lvlText w:val=""/>
      <w:lvlJc w:val="left"/>
      <w:pPr>
        <w:ind w:left="0" w:firstLine="0"/>
      </w:pPr>
      <w:rPr>
        <w:rFonts w:ascii="Arial" w:hAnsi="Arial" w:hint="default"/>
        <w:b w:val="0"/>
        <w:i/>
        <w:sz w:val="24"/>
      </w:rPr>
    </w:lvl>
    <w:lvl w:ilvl="4">
      <w:start w:val="1"/>
      <w:numFmt w:val="decimal"/>
      <w:lvlRestart w:val="1"/>
      <w:lvlText w:val="Step %5."/>
      <w:lvlJc w:val="left"/>
      <w:pPr>
        <w:tabs>
          <w:tab w:val="num" w:pos="1080"/>
        </w:tabs>
        <w:ind w:left="1080" w:hanging="1080"/>
      </w:pPr>
      <w:rPr>
        <w:rFonts w:ascii="Arial" w:hAnsi="Arial" w:hint="default"/>
        <w:b/>
        <w:i/>
        <w:sz w:val="24"/>
      </w:rPr>
    </w:lvl>
    <w:lvl w:ilvl="5">
      <w:start w:val="1"/>
      <w:numFmt w:val="decimal"/>
      <w:pStyle w:val="Task2"/>
      <w:lvlText w:val="Task %6."/>
      <w:lvlJc w:val="left"/>
      <w:pPr>
        <w:tabs>
          <w:tab w:val="num" w:pos="1080"/>
        </w:tabs>
        <w:ind w:left="1080" w:hanging="1080"/>
      </w:pPr>
      <w:rPr>
        <w:rFonts w:ascii="Arial" w:hAnsi="Arial" w:hint="default"/>
        <w:b w:val="0"/>
        <w:i w:val="0"/>
        <w:sz w:val="24"/>
      </w:rPr>
    </w:lvl>
    <w:lvl w:ilvl="6">
      <w:start w:val="1"/>
      <w:numFmt w:val="none"/>
      <w:lvlRestart w:val="0"/>
      <w:pStyle w:val="Deliverables2"/>
      <w:suff w:val="nothing"/>
      <w:lvlText w:val=""/>
      <w:lvlJc w:val="left"/>
      <w:pPr>
        <w:ind w:left="0" w:firstLine="0"/>
      </w:pPr>
      <w:rPr>
        <w:rFonts w:ascii="Arial" w:hAnsi="Arial" w:hint="default"/>
        <w:b w:val="0"/>
        <w:i/>
        <w:sz w:val="24"/>
        <w:u w:val="none"/>
      </w:rPr>
    </w:lvl>
    <w:lvl w:ilvl="7">
      <w:start w:val="1"/>
      <w:numFmt w:val="none"/>
      <w:lvlRestart w:val="0"/>
      <w:suff w:val="nothing"/>
      <w:lvlText w:val="%8"/>
      <w:lvlJc w:val="left"/>
      <w:pPr>
        <w:ind w:left="-32767" w:firstLine="32767"/>
      </w:pPr>
      <w:rPr>
        <w:rFonts w:ascii="Arial" w:hAnsi="Arial" w:hint="default"/>
        <w:b/>
        <w:i w:val="0"/>
        <w:sz w:val="22"/>
        <w:u w:val="none"/>
      </w:rPr>
    </w:lvl>
    <w:lvl w:ilvl="8">
      <w:start w:val="1"/>
      <w:numFmt w:val="none"/>
      <w:lvlRestart w:val="0"/>
      <w:suff w:val="nothing"/>
      <w:lvlText w:val=""/>
      <w:lvlJc w:val="left"/>
      <w:pPr>
        <w:ind w:left="0" w:firstLine="0"/>
      </w:pPr>
      <w:rPr>
        <w:rFonts w:ascii="Arial" w:hAnsi="Arial" w:hint="default"/>
        <w:b/>
        <w:i/>
        <w:sz w:val="24"/>
        <w:u w:val="none"/>
      </w:rPr>
    </w:lvl>
  </w:abstractNum>
  <w:abstractNum w:abstractNumId="14" w15:restartNumberingAfterBreak="0">
    <w:nsid w:val="5E110512"/>
    <w:multiLevelType w:val="multilevel"/>
    <w:tmpl w:val="CC2E75D0"/>
    <w:lvl w:ilvl="0">
      <w:start w:val="1"/>
      <w:numFmt w:val="decimal"/>
      <w:pStyle w:val="SectionDivider-Numbered"/>
      <w:lvlText w:val="%1.0"/>
      <w:lvlJc w:val="left"/>
      <w:pPr>
        <w:tabs>
          <w:tab w:val="num" w:pos="2150"/>
        </w:tabs>
        <w:ind w:left="2150" w:hanging="720"/>
      </w:pPr>
      <w:rPr>
        <w:rFonts w:ascii="Arial Black" w:hAnsi="Arial Black" w:hint="default"/>
        <w:b w:val="0"/>
        <w:i w:val="0"/>
        <w:color w:val="002856" w:themeColor="text2"/>
        <w:sz w:val="32"/>
      </w:rPr>
    </w:lvl>
    <w:lvl w:ilvl="1">
      <w:start w:val="1"/>
      <w:numFmt w:val="decimal"/>
      <w:lvlText w:val="%1.%2"/>
      <w:lvlJc w:val="left"/>
      <w:pPr>
        <w:tabs>
          <w:tab w:val="num" w:pos="2150"/>
        </w:tabs>
        <w:ind w:left="2150" w:hanging="720"/>
      </w:pPr>
      <w:rPr>
        <w:rFonts w:ascii="Arial Black" w:hAnsi="Arial Black" w:hint="default"/>
        <w:b w:val="0"/>
        <w:i w:val="0"/>
        <w:color w:val="002856" w:themeColor="text2"/>
        <w:spacing w:val="10"/>
        <w:sz w:val="28"/>
      </w:rPr>
    </w:lvl>
    <w:lvl w:ilvl="2">
      <w:start w:val="1"/>
      <w:numFmt w:val="decimal"/>
      <w:lvlText w:val="%1.%2.%3"/>
      <w:lvlJc w:val="left"/>
      <w:pPr>
        <w:tabs>
          <w:tab w:val="num" w:pos="2337"/>
        </w:tabs>
        <w:ind w:left="2337" w:hanging="907"/>
      </w:pPr>
      <w:rPr>
        <w:rFonts w:ascii="Arial Black" w:hAnsi="Arial Black" w:hint="default"/>
        <w:b w:val="0"/>
        <w:i w:val="0"/>
        <w:color w:val="002856" w:themeColor="text2"/>
        <w:sz w:val="22"/>
      </w:rPr>
    </w:lvl>
    <w:lvl w:ilvl="3">
      <w:start w:val="1"/>
      <w:numFmt w:val="decimal"/>
      <w:lvlText w:val="%1.%2.%3.%4"/>
      <w:lvlJc w:val="left"/>
      <w:pPr>
        <w:tabs>
          <w:tab w:val="num" w:pos="2424"/>
        </w:tabs>
        <w:ind w:left="2424" w:hanging="994"/>
      </w:pPr>
      <w:rPr>
        <w:rFonts w:ascii="Arial" w:hAnsi="Arial" w:hint="default"/>
        <w:b/>
        <w:i/>
        <w:sz w:val="24"/>
      </w:rPr>
    </w:lvl>
    <w:lvl w:ilvl="4">
      <w:start w:val="1"/>
      <w:numFmt w:val="decimal"/>
      <w:lvlText w:val="%1.%2.%3.%4.%5"/>
      <w:lvlJc w:val="left"/>
      <w:pPr>
        <w:tabs>
          <w:tab w:val="num" w:pos="2596"/>
        </w:tabs>
        <w:ind w:left="2596" w:hanging="1166"/>
      </w:pPr>
      <w:rPr>
        <w:rFonts w:ascii="Arial" w:hAnsi="Arial" w:hint="default"/>
        <w:b/>
        <w:i/>
        <w:sz w:val="24"/>
        <w:u w:val="single"/>
      </w:rPr>
    </w:lvl>
    <w:lvl w:ilvl="5">
      <w:start w:val="1"/>
      <w:numFmt w:val="decimal"/>
      <w:lvlText w:val="%1.%2.%3.%4.%5.%6"/>
      <w:lvlJc w:val="left"/>
      <w:pPr>
        <w:tabs>
          <w:tab w:val="num" w:pos="2870"/>
        </w:tabs>
        <w:ind w:left="2870" w:hanging="1440"/>
      </w:pPr>
      <w:rPr>
        <w:rFonts w:ascii="Arial" w:hAnsi="Arial" w:hint="default"/>
        <w:b w:val="0"/>
        <w:i w:val="0"/>
        <w:sz w:val="24"/>
      </w:rPr>
    </w:lvl>
    <w:lvl w:ilvl="6">
      <w:start w:val="1"/>
      <w:numFmt w:val="decimal"/>
      <w:lvlText w:val="%1.%2.%3.%4.%5.%6.%7"/>
      <w:lvlJc w:val="left"/>
      <w:pPr>
        <w:tabs>
          <w:tab w:val="num" w:pos="3057"/>
        </w:tabs>
        <w:ind w:left="3057" w:hanging="1627"/>
      </w:pPr>
      <w:rPr>
        <w:rFonts w:ascii="Arial" w:hAnsi="Arial" w:hint="default"/>
        <w:b w:val="0"/>
        <w:i/>
        <w:sz w:val="24"/>
        <w:u w:val="none"/>
      </w:rPr>
    </w:lvl>
    <w:lvl w:ilvl="7">
      <w:start w:val="1"/>
      <w:numFmt w:val="decimal"/>
      <w:lvlText w:val="%1.%2.%3.%4.%5.%6.%7.%8"/>
      <w:lvlJc w:val="left"/>
      <w:pPr>
        <w:tabs>
          <w:tab w:val="num" w:pos="3144"/>
        </w:tabs>
        <w:ind w:left="3144" w:hanging="1714"/>
      </w:pPr>
      <w:rPr>
        <w:rFonts w:ascii="Arial" w:hAnsi="Arial" w:hint="default"/>
        <w:b w:val="0"/>
        <w:i/>
        <w:sz w:val="24"/>
        <w:u w:val="single"/>
      </w:rPr>
    </w:lvl>
    <w:lvl w:ilvl="8">
      <w:start w:val="1"/>
      <w:numFmt w:val="decimal"/>
      <w:lvlText w:val="%1.%2.%3.%4.%5.%6.%7.%8.%9"/>
      <w:lvlJc w:val="left"/>
      <w:pPr>
        <w:tabs>
          <w:tab w:val="num" w:pos="3316"/>
        </w:tabs>
        <w:ind w:left="3316" w:hanging="1886"/>
      </w:pPr>
      <w:rPr>
        <w:rFonts w:ascii="Arial" w:hAnsi="Arial" w:hint="default"/>
        <w:b/>
        <w:i w:val="0"/>
        <w:sz w:val="22"/>
        <w:u w:val="none"/>
      </w:rPr>
    </w:lvl>
  </w:abstractNum>
  <w:abstractNum w:abstractNumId="15" w15:restartNumberingAfterBreak="0">
    <w:nsid w:val="68C35633"/>
    <w:multiLevelType w:val="hybridMultilevel"/>
    <w:tmpl w:val="DE3C47E8"/>
    <w:lvl w:ilvl="0" w:tplc="621C4762">
      <w:start w:val="1"/>
      <w:numFmt w:val="decimal"/>
      <w:pStyle w:val="Num-Heading3"/>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2C003EA"/>
    <w:multiLevelType w:val="multilevel"/>
    <w:tmpl w:val="F928F984"/>
    <w:styleLink w:val="Bullets"/>
    <w:lvl w:ilvl="0">
      <w:start w:val="1"/>
      <w:numFmt w:val="bullet"/>
      <w:pStyle w:val="bullet1"/>
      <w:lvlText w:val=""/>
      <w:lvlJc w:val="left"/>
      <w:pPr>
        <w:tabs>
          <w:tab w:val="num" w:pos="450"/>
        </w:tabs>
        <w:ind w:left="450" w:hanging="360"/>
      </w:pPr>
      <w:rPr>
        <w:rFonts w:ascii="Wingdings" w:hAnsi="Wingdings" w:hint="default"/>
        <w:b w:val="0"/>
        <w:bCs w:val="0"/>
        <w:i w:val="0"/>
        <w:iCs w:val="0"/>
        <w:color w:val="002060"/>
        <w:sz w:val="22"/>
        <w:szCs w:val="20"/>
      </w:rPr>
    </w:lvl>
    <w:lvl w:ilvl="1">
      <w:start w:val="1"/>
      <w:numFmt w:val="none"/>
      <w:lvlRestart w:val="0"/>
      <w:pStyle w:val="bulletindent1"/>
      <w:suff w:val="nothing"/>
      <w:lvlText w:val=""/>
      <w:lvlJc w:val="left"/>
      <w:pPr>
        <w:ind w:left="450" w:firstLine="0"/>
      </w:pPr>
      <w:rPr>
        <w:rFonts w:hint="default"/>
        <w:b w:val="0"/>
        <w:bCs w:val="0"/>
        <w:i w:val="0"/>
        <w:iCs w:val="0"/>
        <w:sz w:val="18"/>
        <w:szCs w:val="20"/>
      </w:rPr>
    </w:lvl>
    <w:lvl w:ilvl="2">
      <w:start w:val="1"/>
      <w:numFmt w:val="bullet"/>
      <w:lvlRestart w:val="0"/>
      <w:lvlText w:val="–"/>
      <w:lvlJc w:val="left"/>
      <w:pPr>
        <w:tabs>
          <w:tab w:val="num" w:pos="810"/>
        </w:tabs>
        <w:ind w:left="810" w:hanging="360"/>
      </w:pPr>
      <w:rPr>
        <w:rFonts w:ascii="Arial" w:hAnsi="Arial" w:hint="default"/>
        <w:sz w:val="22"/>
      </w:rPr>
    </w:lvl>
    <w:lvl w:ilvl="3">
      <w:start w:val="1"/>
      <w:numFmt w:val="none"/>
      <w:lvlRestart w:val="0"/>
      <w:suff w:val="nothing"/>
      <w:lvlText w:val=""/>
      <w:lvlJc w:val="left"/>
      <w:pPr>
        <w:ind w:left="810" w:firstLine="0"/>
      </w:pPr>
      <w:rPr>
        <w:rFonts w:hint="default"/>
      </w:rPr>
    </w:lvl>
    <w:lvl w:ilvl="4">
      <w:start w:val="1"/>
      <w:numFmt w:val="bullet"/>
      <w:pStyle w:val="bullet3"/>
      <w:lvlText w:val=""/>
      <w:lvlJc w:val="left"/>
      <w:pPr>
        <w:tabs>
          <w:tab w:val="num" w:pos="1170"/>
        </w:tabs>
        <w:ind w:left="1170" w:hanging="360"/>
      </w:pPr>
      <w:rPr>
        <w:rFonts w:ascii="Wingdings" w:hAnsi="Wingdings" w:hint="default"/>
        <w:color w:val="auto"/>
        <w:sz w:val="22"/>
      </w:rPr>
    </w:lvl>
    <w:lvl w:ilvl="5">
      <w:start w:val="1"/>
      <w:numFmt w:val="none"/>
      <w:lvlRestart w:val="0"/>
      <w:suff w:val="nothing"/>
      <w:lvlText w:val=""/>
      <w:lvlJc w:val="left"/>
      <w:pPr>
        <w:ind w:left="1170" w:firstLine="0"/>
      </w:pPr>
      <w:rPr>
        <w:rFonts w:hint="default"/>
      </w:rPr>
    </w:lvl>
    <w:lvl w:ilvl="6">
      <w:start w:val="1"/>
      <w:numFmt w:val="bullet"/>
      <w:pStyle w:val="bullet4"/>
      <w:lvlText w:val="−"/>
      <w:lvlJc w:val="left"/>
      <w:pPr>
        <w:tabs>
          <w:tab w:val="num" w:pos="1530"/>
        </w:tabs>
        <w:ind w:left="1530" w:hanging="360"/>
      </w:pPr>
      <w:rPr>
        <w:rFonts w:ascii="Arial" w:hAnsi="Arial" w:hint="default"/>
        <w:color w:val="auto"/>
        <w:sz w:val="24"/>
      </w:rPr>
    </w:lvl>
    <w:lvl w:ilvl="7">
      <w:start w:val="1"/>
      <w:numFmt w:val="none"/>
      <w:lvlRestart w:val="0"/>
      <w:pStyle w:val="bulletindent4"/>
      <w:suff w:val="nothing"/>
      <w:lvlText w:val=""/>
      <w:lvlJc w:val="left"/>
      <w:pPr>
        <w:ind w:left="1530" w:firstLine="0"/>
      </w:pPr>
      <w:rPr>
        <w:rFonts w:hint="default"/>
        <w:sz w:val="28"/>
      </w:rPr>
    </w:lvl>
    <w:lvl w:ilvl="8">
      <w:start w:val="1"/>
      <w:numFmt w:val="bullet"/>
      <w:lvlRestart w:val="0"/>
      <w:pStyle w:val="bullet5"/>
      <w:lvlText w:val="•"/>
      <w:lvlJc w:val="left"/>
      <w:pPr>
        <w:tabs>
          <w:tab w:val="num" w:pos="450"/>
        </w:tabs>
        <w:ind w:left="450" w:hanging="360"/>
      </w:pPr>
      <w:rPr>
        <w:rFonts w:ascii="Arial" w:hAnsi="Arial" w:hint="default"/>
        <w:color w:val="002856" w:themeColor="text2"/>
        <w:sz w:val="22"/>
      </w:rPr>
    </w:lvl>
  </w:abstractNum>
  <w:abstractNum w:abstractNumId="17" w15:restartNumberingAfterBreak="0">
    <w:nsid w:val="75574F82"/>
    <w:multiLevelType w:val="multilevel"/>
    <w:tmpl w:val="FFCCE9AC"/>
    <w:lvl w:ilvl="0">
      <w:start w:val="1"/>
      <w:numFmt w:val="upperRoman"/>
      <w:pStyle w:val="Num-Heading1"/>
      <w:lvlText w:val="%1."/>
      <w:lvlJc w:val="right"/>
      <w:pPr>
        <w:ind w:left="360" w:hanging="360"/>
      </w:pPr>
      <w:rPr>
        <w:rFonts w:hint="default"/>
        <w:b/>
        <w:i w:val="0"/>
        <w:sz w:val="32"/>
      </w:rPr>
    </w:lvl>
    <w:lvl w:ilvl="1">
      <w:start w:val="1"/>
      <w:numFmt w:val="decimal"/>
      <w:lvlText w:val="%1.%2"/>
      <w:lvlJc w:val="left"/>
      <w:pPr>
        <w:tabs>
          <w:tab w:val="num" w:pos="720"/>
        </w:tabs>
        <w:ind w:left="720" w:hanging="720"/>
      </w:pPr>
      <w:rPr>
        <w:rFonts w:ascii="Arial Black" w:hAnsi="Arial Black" w:hint="default"/>
        <w:b w:val="0"/>
        <w:i w:val="0"/>
        <w:spacing w:val="10"/>
        <w:sz w:val="28"/>
        <w:u w:color="002856" w:themeColor="text2"/>
      </w:rPr>
    </w:lvl>
    <w:lvl w:ilvl="2">
      <w:start w:val="1"/>
      <w:numFmt w:val="decimal"/>
      <w:lvlText w:val="%1.%2.%3"/>
      <w:lvlJc w:val="left"/>
      <w:pPr>
        <w:tabs>
          <w:tab w:val="num" w:pos="907"/>
        </w:tabs>
        <w:ind w:left="907" w:hanging="907"/>
      </w:pPr>
      <w:rPr>
        <w:rFonts w:ascii="Arial Black" w:hAnsi="Arial Black" w:hint="default"/>
        <w:b w:val="0"/>
        <w:i w:val="0"/>
        <w:sz w:val="24"/>
        <w:u w:color="002856" w:themeColor="text2"/>
      </w:rPr>
    </w:lvl>
    <w:lvl w:ilvl="3">
      <w:start w:val="1"/>
      <w:numFmt w:val="decimal"/>
      <w:pStyle w:val="Num-Heading4"/>
      <w:lvlText w:val="%1.%2.%3.%4"/>
      <w:lvlJc w:val="left"/>
      <w:pPr>
        <w:tabs>
          <w:tab w:val="num" w:pos="994"/>
        </w:tabs>
        <w:ind w:left="994" w:hanging="994"/>
      </w:pPr>
      <w:rPr>
        <w:rFonts w:ascii="Arial Black" w:hAnsi="Arial Black" w:hint="default"/>
        <w:b w:val="0"/>
        <w:i/>
        <w:sz w:val="24"/>
        <w:u w:color="002856" w:themeColor="text2"/>
      </w:rPr>
    </w:lvl>
    <w:lvl w:ilvl="4">
      <w:start w:val="1"/>
      <w:numFmt w:val="decimal"/>
      <w:pStyle w:val="Num-Heading5"/>
      <w:lvlText w:val="%1.%2.%3.%4.%5"/>
      <w:lvlJc w:val="left"/>
      <w:pPr>
        <w:tabs>
          <w:tab w:val="num" w:pos="1166"/>
        </w:tabs>
        <w:ind w:left="1166" w:hanging="1166"/>
      </w:pPr>
      <w:rPr>
        <w:rFonts w:ascii="Arial" w:hAnsi="Arial" w:hint="default"/>
        <w:b/>
        <w:i/>
        <w:sz w:val="24"/>
        <w:u w:val="single"/>
      </w:rPr>
    </w:lvl>
    <w:lvl w:ilvl="5">
      <w:start w:val="1"/>
      <w:numFmt w:val="decimal"/>
      <w:pStyle w:val="Num-Heading6"/>
      <w:lvlText w:val="%1.%2.%3.%4.%5.%6"/>
      <w:lvlJc w:val="left"/>
      <w:pPr>
        <w:tabs>
          <w:tab w:val="num" w:pos="1440"/>
        </w:tabs>
        <w:ind w:left="1440" w:hanging="1440"/>
      </w:pPr>
      <w:rPr>
        <w:rFonts w:ascii="Arial" w:hAnsi="Arial" w:hint="default"/>
        <w:b w:val="0"/>
        <w:i w:val="0"/>
        <w:sz w:val="24"/>
      </w:rPr>
    </w:lvl>
    <w:lvl w:ilvl="6">
      <w:start w:val="1"/>
      <w:numFmt w:val="decimal"/>
      <w:pStyle w:val="Num-Heading7"/>
      <w:lvlText w:val="%1.%2.%3.%4.%5.%6.%7"/>
      <w:lvlJc w:val="left"/>
      <w:pPr>
        <w:tabs>
          <w:tab w:val="num" w:pos="1627"/>
        </w:tabs>
        <w:ind w:left="1627" w:hanging="1627"/>
      </w:pPr>
      <w:rPr>
        <w:rFonts w:ascii="Arial" w:hAnsi="Arial" w:hint="default"/>
        <w:b w:val="0"/>
        <w:i/>
        <w:sz w:val="24"/>
        <w:u w:val="none"/>
      </w:rPr>
    </w:lvl>
    <w:lvl w:ilvl="7">
      <w:start w:val="1"/>
      <w:numFmt w:val="decimal"/>
      <w:pStyle w:val="Num-Heading8"/>
      <w:lvlText w:val="%1.%2.%3.%4.%5.%6.%7.%8"/>
      <w:lvlJc w:val="left"/>
      <w:pPr>
        <w:tabs>
          <w:tab w:val="num" w:pos="1714"/>
        </w:tabs>
        <w:ind w:left="1714" w:hanging="1714"/>
      </w:pPr>
      <w:rPr>
        <w:rFonts w:ascii="Arial" w:hAnsi="Arial" w:hint="default"/>
        <w:b w:val="0"/>
        <w:i/>
        <w:sz w:val="24"/>
        <w:u w:val="single"/>
      </w:rPr>
    </w:lvl>
    <w:lvl w:ilvl="8">
      <w:start w:val="1"/>
      <w:numFmt w:val="decimal"/>
      <w:pStyle w:val="Num-Heading9"/>
      <w:lvlText w:val="%1.%2.%3.%4.%5.%6.%7.%8.%9"/>
      <w:lvlJc w:val="left"/>
      <w:pPr>
        <w:tabs>
          <w:tab w:val="num" w:pos="1886"/>
        </w:tabs>
        <w:ind w:left="1886" w:hanging="1886"/>
      </w:pPr>
      <w:rPr>
        <w:rFonts w:ascii="Arial" w:hAnsi="Arial" w:hint="default"/>
        <w:b/>
        <w:i w:val="0"/>
        <w:sz w:val="22"/>
        <w:u w:val="none"/>
      </w:rPr>
    </w:lvl>
  </w:abstractNum>
  <w:abstractNum w:abstractNumId="18" w15:restartNumberingAfterBreak="0">
    <w:nsid w:val="7BC628F4"/>
    <w:multiLevelType w:val="hybridMultilevel"/>
    <w:tmpl w:val="A6ACB804"/>
    <w:lvl w:ilvl="0" w:tplc="A39C49E2">
      <w:start w:val="1"/>
      <w:numFmt w:val="upperLetter"/>
      <w:pStyle w:val="Num-Heading2"/>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C633B92"/>
    <w:multiLevelType w:val="multilevel"/>
    <w:tmpl w:val="9DF41A6E"/>
    <w:lvl w:ilvl="0">
      <w:numFmt w:val="bullet"/>
      <w:lvlText w:val=""/>
      <w:lvlJc w:val="left"/>
      <w:pPr>
        <w:tabs>
          <w:tab w:val="num" w:pos="720"/>
        </w:tabs>
        <w:ind w:left="720" w:hanging="360"/>
      </w:pPr>
      <w:rPr>
        <w:rFonts w:ascii="Wingdings 2" w:hAnsi="Wingdings 2" w:hint="default"/>
        <w:b w:val="0"/>
        <w:bCs w:val="0"/>
        <w:i w:val="0"/>
        <w:iCs w:val="0"/>
        <w:color w:val="002060"/>
        <w:sz w:val="22"/>
        <w:szCs w:val="20"/>
      </w:rPr>
    </w:lvl>
    <w:lvl w:ilvl="1">
      <w:start w:val="1"/>
      <w:numFmt w:val="none"/>
      <w:lvlRestart w:val="0"/>
      <w:suff w:val="nothing"/>
      <w:lvlText w:val=""/>
      <w:lvlJc w:val="left"/>
      <w:pPr>
        <w:ind w:left="720" w:firstLine="0"/>
      </w:pPr>
      <w:rPr>
        <w:rFonts w:hint="default"/>
        <w:b w:val="0"/>
        <w:bCs w:val="0"/>
        <w:i w:val="0"/>
        <w:iCs w:val="0"/>
        <w:sz w:val="18"/>
        <w:szCs w:val="20"/>
      </w:rPr>
    </w:lvl>
    <w:lvl w:ilvl="2">
      <w:numFmt w:val="bullet"/>
      <w:pStyle w:val="bullet2"/>
      <w:lvlText w:val="‒"/>
      <w:lvlJc w:val="left"/>
      <w:pPr>
        <w:tabs>
          <w:tab w:val="num" w:pos="1080"/>
        </w:tabs>
        <w:ind w:left="1080" w:hanging="360"/>
      </w:pPr>
      <w:rPr>
        <w:rFonts w:ascii="Arial" w:hAnsi="Arial" w:hint="default"/>
      </w:rPr>
    </w:lvl>
    <w:lvl w:ilvl="3">
      <w:start w:val="1"/>
      <w:numFmt w:val="none"/>
      <w:lvlRestart w:val="0"/>
      <w:pStyle w:val="bulletindent2"/>
      <w:suff w:val="nothing"/>
      <w:lvlText w:val=""/>
      <w:lvlJc w:val="left"/>
      <w:pPr>
        <w:ind w:left="1080" w:firstLine="0"/>
      </w:pPr>
      <w:rPr>
        <w:rFonts w:hint="default"/>
      </w:rPr>
    </w:lvl>
    <w:lvl w:ilvl="4">
      <w:numFmt w:val="bullet"/>
      <w:lvlRestart w:val="0"/>
      <w:lvlText w:val=""/>
      <w:lvlJc w:val="left"/>
      <w:pPr>
        <w:tabs>
          <w:tab w:val="num" w:pos="1440"/>
        </w:tabs>
        <w:ind w:left="1440" w:hanging="360"/>
      </w:pPr>
      <w:rPr>
        <w:rFonts w:ascii="Wingdings 2" w:hAnsi="Wingdings 2" w:hint="default"/>
        <w:color w:val="auto"/>
        <w:sz w:val="24"/>
      </w:rPr>
    </w:lvl>
    <w:lvl w:ilvl="5">
      <w:start w:val="1"/>
      <w:numFmt w:val="none"/>
      <w:lvlRestart w:val="0"/>
      <w:suff w:val="nothing"/>
      <w:lvlText w:val=""/>
      <w:lvlJc w:val="left"/>
      <w:pPr>
        <w:ind w:left="1440" w:firstLine="0"/>
      </w:pPr>
      <w:rPr>
        <w:rFonts w:hint="default"/>
      </w:rPr>
    </w:lvl>
    <w:lvl w:ilvl="6">
      <w:numFmt w:val="bullet"/>
      <w:lvlRestart w:val="0"/>
      <w:lvlText w:val="»"/>
      <w:lvlJc w:val="left"/>
      <w:pPr>
        <w:tabs>
          <w:tab w:val="num" w:pos="1800"/>
        </w:tabs>
        <w:ind w:left="1800" w:hanging="360"/>
      </w:pPr>
      <w:rPr>
        <w:rFonts w:ascii="Times New Roman" w:hAnsi="Times New Roman" w:hint="default"/>
        <w:sz w:val="28"/>
      </w:rPr>
    </w:lvl>
    <w:lvl w:ilvl="7">
      <w:start w:val="1"/>
      <w:numFmt w:val="none"/>
      <w:lvlRestart w:val="0"/>
      <w:suff w:val="nothing"/>
      <w:lvlText w:val=""/>
      <w:lvlJc w:val="left"/>
      <w:pPr>
        <w:ind w:left="1800" w:firstLine="0"/>
      </w:pPr>
      <w:rPr>
        <w:rFonts w:hint="default"/>
        <w:sz w:val="28"/>
      </w:rPr>
    </w:lvl>
    <w:lvl w:ilvl="8">
      <w:numFmt w:val="bullet"/>
      <w:lvlRestart w:val="0"/>
      <w:lvlText w:val=""/>
      <w:lvlJc w:val="left"/>
      <w:pPr>
        <w:tabs>
          <w:tab w:val="num" w:pos="720"/>
        </w:tabs>
        <w:ind w:left="720" w:hanging="360"/>
      </w:pPr>
      <w:rPr>
        <w:rFonts w:ascii="Symbol" w:hAnsi="Symbol" w:hint="default"/>
        <w:sz w:val="28"/>
      </w:rPr>
    </w:lvl>
  </w:abstractNum>
  <w:num w:numId="1">
    <w:abstractNumId w:val="7"/>
  </w:num>
  <w:num w:numId="2">
    <w:abstractNumId w:val="5"/>
  </w:num>
  <w:num w:numId="3">
    <w:abstractNumId w:val="11"/>
  </w:num>
  <w:num w:numId="4">
    <w:abstractNumId w:val="0"/>
  </w:num>
  <w:num w:numId="5">
    <w:abstractNumId w:val="3"/>
  </w:num>
  <w:num w:numId="6">
    <w:abstractNumId w:val="10"/>
  </w:num>
  <w:num w:numId="7">
    <w:abstractNumId w:val="6"/>
  </w:num>
  <w:num w:numId="8">
    <w:abstractNumId w:val="13"/>
  </w:num>
  <w:num w:numId="9">
    <w:abstractNumId w:val="13"/>
  </w:num>
  <w:num w:numId="10">
    <w:abstractNumId w:val="9"/>
    <w:lvlOverride w:ilvl="0">
      <w:lvl w:ilvl="0">
        <w:start w:val="1"/>
        <w:numFmt w:val="bullet"/>
        <w:pStyle w:val="bullet6"/>
        <w:lvlText w:val=""/>
        <w:lvlJc w:val="left"/>
        <w:pPr>
          <w:tabs>
            <w:tab w:val="num" w:pos="720"/>
          </w:tabs>
          <w:ind w:left="720" w:hanging="360"/>
        </w:pPr>
        <w:rPr>
          <w:rFonts w:ascii="Wingdings" w:hAnsi="Wingdings" w:hint="default"/>
          <w:b w:val="0"/>
          <w:i w:val="0"/>
          <w:sz w:val="22"/>
        </w:rPr>
      </w:lvl>
    </w:lvlOverride>
    <w:lvlOverride w:ilvl="1">
      <w:lvl w:ilvl="1">
        <w:start w:val="1"/>
        <w:numFmt w:val="bullet"/>
        <w:lvlRestart w:val="0"/>
        <w:pStyle w:val="bullet7"/>
        <w:lvlText w:val=""/>
        <w:lvlJc w:val="left"/>
        <w:pPr>
          <w:tabs>
            <w:tab w:val="num" w:pos="1080"/>
          </w:tabs>
          <w:ind w:left="1080" w:hanging="360"/>
        </w:pPr>
        <w:rPr>
          <w:rFonts w:ascii="Wingdings" w:hAnsi="Wingdings" w:hint="default"/>
          <w:b w:val="0"/>
          <w:i w:val="0"/>
          <w:spacing w:val="10"/>
          <w:sz w:val="22"/>
        </w:rPr>
      </w:lvl>
    </w:lvlOverride>
    <w:lvlOverride w:ilvl="2">
      <w:lvl w:ilvl="2">
        <w:start w:val="1"/>
        <w:numFmt w:val="bullet"/>
        <w:lvlRestart w:val="0"/>
        <w:pStyle w:val="bullet8"/>
        <w:lvlText w:val=""/>
        <w:lvlJc w:val="left"/>
        <w:pPr>
          <w:tabs>
            <w:tab w:val="num" w:pos="720"/>
          </w:tabs>
          <w:ind w:left="720" w:hanging="360"/>
        </w:pPr>
        <w:rPr>
          <w:rFonts w:ascii="Wingdings" w:hAnsi="Wingdings" w:hint="default"/>
          <w:b w:val="0"/>
          <w:i w:val="0"/>
          <w:sz w:val="22"/>
        </w:rPr>
      </w:lvl>
    </w:lvlOverride>
    <w:lvlOverride w:ilvl="3">
      <w:lvl w:ilvl="3">
        <w:start w:val="1"/>
        <w:numFmt w:val="bullet"/>
        <w:lvlRestart w:val="0"/>
        <w:pStyle w:val="bullet9"/>
        <w:lvlText w:val=""/>
        <w:lvlJc w:val="left"/>
        <w:pPr>
          <w:tabs>
            <w:tab w:val="num" w:pos="1080"/>
          </w:tabs>
          <w:ind w:left="1080" w:hanging="360"/>
        </w:pPr>
        <w:rPr>
          <w:rFonts w:ascii="Wingdings" w:hAnsi="Wingdings" w:hint="default"/>
          <w:b w:val="0"/>
          <w:bCs w:val="0"/>
          <w:i w:val="0"/>
          <w:iCs w:val="0"/>
          <w:sz w:val="22"/>
        </w:rPr>
      </w:lvl>
    </w:lvlOverride>
    <w:lvlOverride w:ilvl="4">
      <w:lvl w:ilvl="4">
        <w:start w:val="1"/>
        <w:numFmt w:val="bullet"/>
        <w:lvlRestart w:val="0"/>
        <w:pStyle w:val="bullet10"/>
        <w:lvlText w:val=""/>
        <w:lvlJc w:val="left"/>
        <w:pPr>
          <w:tabs>
            <w:tab w:val="num" w:pos="720"/>
          </w:tabs>
          <w:ind w:left="720" w:hanging="360"/>
        </w:pPr>
        <w:rPr>
          <w:rFonts w:ascii="Wingdings" w:hAnsi="Wingdings" w:hint="default"/>
          <w:b w:val="0"/>
          <w:i w:val="0"/>
          <w:sz w:val="36"/>
          <w:u w:val="none"/>
        </w:rPr>
      </w:lvl>
    </w:lvlOverride>
    <w:lvlOverride w:ilvl="5">
      <w:lvl w:ilvl="5">
        <w:start w:val="1"/>
        <w:numFmt w:val="bullet"/>
        <w:lvlRestart w:val="0"/>
        <w:pStyle w:val="bullet11"/>
        <w:lvlText w:val=""/>
        <w:lvlJc w:val="left"/>
        <w:pPr>
          <w:tabs>
            <w:tab w:val="num" w:pos="1080"/>
          </w:tabs>
          <w:ind w:left="1080" w:hanging="360"/>
        </w:pPr>
        <w:rPr>
          <w:rFonts w:ascii="Wingdings" w:hAnsi="Wingdings" w:hint="default"/>
          <w:b w:val="0"/>
          <w:i w:val="0"/>
          <w:sz w:val="36"/>
        </w:rPr>
      </w:lvl>
    </w:lvlOverride>
    <w:lvlOverride w:ilvl="6">
      <w:lvl w:ilvl="6">
        <w:start w:val="1"/>
        <w:numFmt w:val="bullet"/>
        <w:lvlRestart w:val="0"/>
        <w:pStyle w:val="bullet12"/>
        <w:lvlText w:val=""/>
        <w:lvlJc w:val="left"/>
        <w:pPr>
          <w:tabs>
            <w:tab w:val="num" w:pos="720"/>
          </w:tabs>
          <w:ind w:left="720" w:hanging="360"/>
        </w:pPr>
        <w:rPr>
          <w:rFonts w:ascii="Wingdings" w:hAnsi="Wingdings" w:hint="default"/>
          <w:b w:val="0"/>
          <w:i w:val="0"/>
          <w:sz w:val="36"/>
        </w:rPr>
      </w:lvl>
    </w:lvlOverride>
    <w:lvlOverride w:ilvl="7">
      <w:lvl w:ilvl="7">
        <w:start w:val="1"/>
        <w:numFmt w:val="bullet"/>
        <w:lvlRestart w:val="0"/>
        <w:pStyle w:val="bullet13"/>
        <w:lvlText w:val=""/>
        <w:lvlJc w:val="left"/>
        <w:pPr>
          <w:tabs>
            <w:tab w:val="num" w:pos="1080"/>
          </w:tabs>
          <w:ind w:left="1080" w:hanging="360"/>
        </w:pPr>
        <w:rPr>
          <w:rFonts w:ascii="Wingdings" w:hAnsi="Wingdings" w:hint="default"/>
          <w:b w:val="0"/>
          <w:i w:val="0"/>
          <w:sz w:val="36"/>
          <w:u w:val="none"/>
        </w:rPr>
      </w:lvl>
    </w:lvlOverride>
    <w:lvlOverride w:ilvl="8">
      <w:lvl w:ilvl="8">
        <w:start w:val="1"/>
        <w:numFmt w:val="bullet"/>
        <w:lvlRestart w:val="0"/>
        <w:pStyle w:val="bullet14"/>
        <w:lvlText w:val=""/>
        <w:lvlJc w:val="left"/>
        <w:pPr>
          <w:tabs>
            <w:tab w:val="num" w:pos="1440"/>
          </w:tabs>
          <w:ind w:left="1440" w:hanging="360"/>
        </w:pPr>
        <w:rPr>
          <w:rFonts w:ascii="Symbol" w:hAnsi="Symbol" w:hint="default"/>
          <w:b w:val="0"/>
          <w:i w:val="0"/>
          <w:sz w:val="24"/>
        </w:rPr>
      </w:lvl>
    </w:lvlOverride>
  </w:num>
  <w:num w:numId="11">
    <w:abstractNumId w:val="14"/>
  </w:num>
  <w:num w:numId="12">
    <w:abstractNumId w:val="9"/>
  </w:num>
  <w:num w:numId="13">
    <w:abstractNumId w:val="8"/>
  </w:num>
  <w:num w:numId="14">
    <w:abstractNumId w:val="4"/>
  </w:num>
  <w:num w:numId="15">
    <w:abstractNumId w:val="11"/>
  </w:num>
  <w:num w:numId="16">
    <w:abstractNumId w:val="0"/>
  </w:num>
  <w:num w:numId="17">
    <w:abstractNumId w:val="1"/>
  </w:num>
  <w:num w:numId="18">
    <w:abstractNumId w:val="17"/>
  </w:num>
  <w:num w:numId="19">
    <w:abstractNumId w:val="16"/>
  </w:num>
  <w:num w:numId="20">
    <w:abstractNumId w:val="19"/>
  </w:num>
  <w:num w:numId="21">
    <w:abstractNumId w:val="16"/>
  </w:num>
  <w:num w:numId="22">
    <w:abstractNumId w:val="12"/>
  </w:num>
  <w:num w:numId="23">
    <w:abstractNumId w:val="2"/>
  </w:num>
  <w:num w:numId="24">
    <w:abstractNumId w:val="18"/>
  </w:num>
  <w:num w:numId="2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8"/>
    <w:lvlOverride w:ilvl="0">
      <w:startOverride w:val="1"/>
    </w:lvlOverride>
  </w:num>
  <w:num w:numId="3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8"/>
    <w:lvlOverride w:ilvl="0">
      <w:startOverride w:val="1"/>
    </w:lvlOverride>
  </w:num>
  <w:num w:numId="3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5"/>
    <w:lvlOverride w:ilvl="0">
      <w:startOverride w:val="1"/>
    </w:lvlOverride>
  </w:num>
  <w:num w:numId="42">
    <w:abstractNumId w:val="18"/>
    <w:lvlOverride w:ilvl="0">
      <w:startOverride w:val="1"/>
    </w:lvlOverride>
  </w:num>
  <w:num w:numId="43">
    <w:abstractNumId w:val="18"/>
    <w:lvlOverride w:ilvl="0">
      <w:startOverride w:val="1"/>
    </w:lvlOverride>
  </w:num>
  <w:num w:numId="4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5"/>
    <w:lvlOverride w:ilvl="0">
      <w:startOverride w:val="1"/>
    </w:lvlOverride>
  </w:num>
  <w:num w:numId="4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5"/>
    <w:lvlOverride w:ilvl="0">
      <w:startOverride w:val="1"/>
    </w:lvlOverride>
  </w:num>
  <w:num w:numId="5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8"/>
    <w:lvlOverride w:ilvl="0">
      <w:startOverride w:val="1"/>
    </w:lvlOverride>
  </w:num>
  <w:num w:numId="58">
    <w:abstractNumId w:val="15"/>
    <w:lvlOverride w:ilvl="0">
      <w:startOverride w:val="1"/>
    </w:lvlOverride>
  </w:num>
  <w:num w:numId="59">
    <w:abstractNumId w:val="15"/>
  </w:num>
  <w:num w:numId="60">
    <w:abstractNumId w:val="15"/>
    <w:lvlOverride w:ilvl="0">
      <w:startOverride w:val="1"/>
    </w:lvlOverride>
  </w:num>
  <w:num w:numId="61">
    <w:abstractNumId w:val="15"/>
    <w:lvlOverride w:ilvl="0">
      <w:startOverride w:val="1"/>
    </w:lvlOverride>
  </w:num>
  <w:num w:numId="6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5"/>
    <w:lvlOverride w:ilvl="0">
      <w:startOverride w:val="1"/>
    </w:lvlOverride>
  </w:num>
  <w:num w:numId="6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9"/>
  <w:embedSystemFonts/>
  <w:hideSpellingErrors/>
  <w:hideGrammaticalErrors/>
  <w:activeWritingStyle w:appName="MSWord" w:lang="en-US" w:vendorID="8" w:dllVersion="513" w:checkStyle="1"/>
  <w:activeWritingStyle w:appName="MSWord" w:lang="en-GB" w:vendorID="8" w:dllVersion="513"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oNotHyphenateCaps/>
  <w:drawingGridHorizontalSpacing w:val="110"/>
  <w:drawingGridVerticalSpacing w:val="187"/>
  <w:displayHorizontalDrawingGridEvery w:val="0"/>
  <w:displayVerticalDrawingGridEvery w:val="0"/>
  <w:doNotShadeFormData/>
  <w:noPunctuationKerning/>
  <w:characterSpacingControl w:val="doNotCompress"/>
  <w:hdrShapeDefaults>
    <o:shapedefaults v:ext="edit" spidmax="26626" fill="f" fillcolor="white" strokecolor="none [3215]">
      <v:fill color="white" on="f"/>
      <v:stroke color="none [3215]" weight="1.5pt"/>
      <v:textbox inset="5.85pt,.7pt,5.85pt,.7pt"/>
      <o:colormru v:ext="edit" colors="#074b88,#0b74af,#c90,#af9c53,#ccecff,#ddd"/>
    </o:shapedefaults>
  </w:hdrShapeDefaults>
  <w:footnotePr>
    <w:numRestart w:val="eachPage"/>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07C8"/>
    <w:rsid w:val="00000718"/>
    <w:rsid w:val="00001329"/>
    <w:rsid w:val="00002983"/>
    <w:rsid w:val="00002AB2"/>
    <w:rsid w:val="000040B2"/>
    <w:rsid w:val="0000485C"/>
    <w:rsid w:val="00005E42"/>
    <w:rsid w:val="000072EE"/>
    <w:rsid w:val="00010D39"/>
    <w:rsid w:val="00011E7C"/>
    <w:rsid w:val="000126EB"/>
    <w:rsid w:val="00013D9D"/>
    <w:rsid w:val="0001468C"/>
    <w:rsid w:val="0001511E"/>
    <w:rsid w:val="0001540C"/>
    <w:rsid w:val="00016562"/>
    <w:rsid w:val="000217D0"/>
    <w:rsid w:val="00021CAB"/>
    <w:rsid w:val="00022608"/>
    <w:rsid w:val="000227E0"/>
    <w:rsid w:val="000238B2"/>
    <w:rsid w:val="000243FC"/>
    <w:rsid w:val="000250B3"/>
    <w:rsid w:val="00025A34"/>
    <w:rsid w:val="00025A80"/>
    <w:rsid w:val="00026200"/>
    <w:rsid w:val="00026EF3"/>
    <w:rsid w:val="00027A71"/>
    <w:rsid w:val="0003036F"/>
    <w:rsid w:val="00030F57"/>
    <w:rsid w:val="00031673"/>
    <w:rsid w:val="00031EAA"/>
    <w:rsid w:val="0003288D"/>
    <w:rsid w:val="00033641"/>
    <w:rsid w:val="00033C1E"/>
    <w:rsid w:val="000347BC"/>
    <w:rsid w:val="00034BDA"/>
    <w:rsid w:val="00036D72"/>
    <w:rsid w:val="000377F6"/>
    <w:rsid w:val="00037BAE"/>
    <w:rsid w:val="00040269"/>
    <w:rsid w:val="00040696"/>
    <w:rsid w:val="00040FEA"/>
    <w:rsid w:val="00043CDB"/>
    <w:rsid w:val="00044E97"/>
    <w:rsid w:val="00045414"/>
    <w:rsid w:val="00045CA8"/>
    <w:rsid w:val="00045D97"/>
    <w:rsid w:val="00045E3C"/>
    <w:rsid w:val="00045F51"/>
    <w:rsid w:val="00046D83"/>
    <w:rsid w:val="00047959"/>
    <w:rsid w:val="000500B7"/>
    <w:rsid w:val="0005054F"/>
    <w:rsid w:val="00050D60"/>
    <w:rsid w:val="00051309"/>
    <w:rsid w:val="000529A4"/>
    <w:rsid w:val="00052DD2"/>
    <w:rsid w:val="00053A03"/>
    <w:rsid w:val="00053FD1"/>
    <w:rsid w:val="000542EC"/>
    <w:rsid w:val="000548A9"/>
    <w:rsid w:val="00055327"/>
    <w:rsid w:val="000558CD"/>
    <w:rsid w:val="00055EAC"/>
    <w:rsid w:val="0005662D"/>
    <w:rsid w:val="00056819"/>
    <w:rsid w:val="00056D7C"/>
    <w:rsid w:val="0005736E"/>
    <w:rsid w:val="00060688"/>
    <w:rsid w:val="00062009"/>
    <w:rsid w:val="000626F4"/>
    <w:rsid w:val="000631BC"/>
    <w:rsid w:val="00063F07"/>
    <w:rsid w:val="000662E6"/>
    <w:rsid w:val="00066681"/>
    <w:rsid w:val="0006675B"/>
    <w:rsid w:val="00066E8D"/>
    <w:rsid w:val="0007001D"/>
    <w:rsid w:val="0007062D"/>
    <w:rsid w:val="00070A15"/>
    <w:rsid w:val="00070B61"/>
    <w:rsid w:val="00071390"/>
    <w:rsid w:val="0007329E"/>
    <w:rsid w:val="00074EE8"/>
    <w:rsid w:val="00076F3A"/>
    <w:rsid w:val="00077973"/>
    <w:rsid w:val="00080639"/>
    <w:rsid w:val="000812DF"/>
    <w:rsid w:val="000814C1"/>
    <w:rsid w:val="00081596"/>
    <w:rsid w:val="000818D5"/>
    <w:rsid w:val="00081E37"/>
    <w:rsid w:val="000830F9"/>
    <w:rsid w:val="00083496"/>
    <w:rsid w:val="0008446C"/>
    <w:rsid w:val="000846AA"/>
    <w:rsid w:val="000860A1"/>
    <w:rsid w:val="00086771"/>
    <w:rsid w:val="00086C7C"/>
    <w:rsid w:val="00087371"/>
    <w:rsid w:val="000915D5"/>
    <w:rsid w:val="000925CF"/>
    <w:rsid w:val="00093346"/>
    <w:rsid w:val="00093B9C"/>
    <w:rsid w:val="00093F78"/>
    <w:rsid w:val="00095BAB"/>
    <w:rsid w:val="00095EEE"/>
    <w:rsid w:val="00095F6C"/>
    <w:rsid w:val="00095F70"/>
    <w:rsid w:val="00096F9C"/>
    <w:rsid w:val="000970C3"/>
    <w:rsid w:val="00097875"/>
    <w:rsid w:val="000979D1"/>
    <w:rsid w:val="000A1289"/>
    <w:rsid w:val="000A14A3"/>
    <w:rsid w:val="000A1FD7"/>
    <w:rsid w:val="000A355F"/>
    <w:rsid w:val="000A3584"/>
    <w:rsid w:val="000A4FC0"/>
    <w:rsid w:val="000A7CC5"/>
    <w:rsid w:val="000A7E52"/>
    <w:rsid w:val="000A7E7C"/>
    <w:rsid w:val="000B1E57"/>
    <w:rsid w:val="000B2A32"/>
    <w:rsid w:val="000B2B1F"/>
    <w:rsid w:val="000B3F8E"/>
    <w:rsid w:val="000B4D36"/>
    <w:rsid w:val="000B4F5B"/>
    <w:rsid w:val="000B664F"/>
    <w:rsid w:val="000C0BAA"/>
    <w:rsid w:val="000C21E3"/>
    <w:rsid w:val="000C3229"/>
    <w:rsid w:val="000C32A9"/>
    <w:rsid w:val="000C34BF"/>
    <w:rsid w:val="000C4C8E"/>
    <w:rsid w:val="000C66F3"/>
    <w:rsid w:val="000C6ACE"/>
    <w:rsid w:val="000D1054"/>
    <w:rsid w:val="000D259D"/>
    <w:rsid w:val="000D2619"/>
    <w:rsid w:val="000D29B1"/>
    <w:rsid w:val="000D2BCD"/>
    <w:rsid w:val="000D2C69"/>
    <w:rsid w:val="000D3667"/>
    <w:rsid w:val="000D4876"/>
    <w:rsid w:val="000D5F66"/>
    <w:rsid w:val="000D685E"/>
    <w:rsid w:val="000D68D2"/>
    <w:rsid w:val="000E08A8"/>
    <w:rsid w:val="000E18D5"/>
    <w:rsid w:val="000E1BEF"/>
    <w:rsid w:val="000E377D"/>
    <w:rsid w:val="000E3BEF"/>
    <w:rsid w:val="000E3E97"/>
    <w:rsid w:val="000E65F5"/>
    <w:rsid w:val="000E6874"/>
    <w:rsid w:val="000F0AE3"/>
    <w:rsid w:val="000F13E9"/>
    <w:rsid w:val="000F24D4"/>
    <w:rsid w:val="000F3015"/>
    <w:rsid w:val="000F3529"/>
    <w:rsid w:val="000F357A"/>
    <w:rsid w:val="000F5A8F"/>
    <w:rsid w:val="000F5E15"/>
    <w:rsid w:val="001005CF"/>
    <w:rsid w:val="00100927"/>
    <w:rsid w:val="00101E58"/>
    <w:rsid w:val="00101F06"/>
    <w:rsid w:val="001023E3"/>
    <w:rsid w:val="001027CF"/>
    <w:rsid w:val="00103799"/>
    <w:rsid w:val="00103CC1"/>
    <w:rsid w:val="001044F4"/>
    <w:rsid w:val="001071BE"/>
    <w:rsid w:val="00107271"/>
    <w:rsid w:val="00110EC2"/>
    <w:rsid w:val="001115F1"/>
    <w:rsid w:val="0011234F"/>
    <w:rsid w:val="0011239E"/>
    <w:rsid w:val="00113053"/>
    <w:rsid w:val="00113AD1"/>
    <w:rsid w:val="00113EE1"/>
    <w:rsid w:val="00113F60"/>
    <w:rsid w:val="00114182"/>
    <w:rsid w:val="00116836"/>
    <w:rsid w:val="00117449"/>
    <w:rsid w:val="00117EF2"/>
    <w:rsid w:val="00120294"/>
    <w:rsid w:val="001213E2"/>
    <w:rsid w:val="00122851"/>
    <w:rsid w:val="00123A2A"/>
    <w:rsid w:val="00123F64"/>
    <w:rsid w:val="0012473C"/>
    <w:rsid w:val="00125AFB"/>
    <w:rsid w:val="00127D93"/>
    <w:rsid w:val="00130C87"/>
    <w:rsid w:val="00130FE4"/>
    <w:rsid w:val="0013199D"/>
    <w:rsid w:val="001338EE"/>
    <w:rsid w:val="0013487F"/>
    <w:rsid w:val="001352F3"/>
    <w:rsid w:val="0013542F"/>
    <w:rsid w:val="00135E4C"/>
    <w:rsid w:val="00137590"/>
    <w:rsid w:val="001413C2"/>
    <w:rsid w:val="00141DF4"/>
    <w:rsid w:val="00141EEC"/>
    <w:rsid w:val="001428B6"/>
    <w:rsid w:val="00142BAF"/>
    <w:rsid w:val="00143909"/>
    <w:rsid w:val="00143FB8"/>
    <w:rsid w:val="001474CE"/>
    <w:rsid w:val="00147ACE"/>
    <w:rsid w:val="0015135D"/>
    <w:rsid w:val="00152BA2"/>
    <w:rsid w:val="001539E0"/>
    <w:rsid w:val="00154251"/>
    <w:rsid w:val="001543EC"/>
    <w:rsid w:val="001564F0"/>
    <w:rsid w:val="001567E6"/>
    <w:rsid w:val="0015739D"/>
    <w:rsid w:val="00160047"/>
    <w:rsid w:val="00160B5E"/>
    <w:rsid w:val="00161171"/>
    <w:rsid w:val="00163503"/>
    <w:rsid w:val="00166BBF"/>
    <w:rsid w:val="00170406"/>
    <w:rsid w:val="0017077E"/>
    <w:rsid w:val="00171A33"/>
    <w:rsid w:val="001749C8"/>
    <w:rsid w:val="0017504A"/>
    <w:rsid w:val="00175659"/>
    <w:rsid w:val="001757EB"/>
    <w:rsid w:val="00176BA7"/>
    <w:rsid w:val="00177D6F"/>
    <w:rsid w:val="00180114"/>
    <w:rsid w:val="00180BA2"/>
    <w:rsid w:val="00180CDD"/>
    <w:rsid w:val="00180EB9"/>
    <w:rsid w:val="0018137A"/>
    <w:rsid w:val="00182CBD"/>
    <w:rsid w:val="00184841"/>
    <w:rsid w:val="0018603B"/>
    <w:rsid w:val="001904F1"/>
    <w:rsid w:val="001927B0"/>
    <w:rsid w:val="00192E3F"/>
    <w:rsid w:val="00192FDA"/>
    <w:rsid w:val="0019315E"/>
    <w:rsid w:val="001947C4"/>
    <w:rsid w:val="00196703"/>
    <w:rsid w:val="00196F61"/>
    <w:rsid w:val="00197177"/>
    <w:rsid w:val="001A00F7"/>
    <w:rsid w:val="001A07B9"/>
    <w:rsid w:val="001A1002"/>
    <w:rsid w:val="001A1C6C"/>
    <w:rsid w:val="001A1CDD"/>
    <w:rsid w:val="001A262F"/>
    <w:rsid w:val="001A2A7E"/>
    <w:rsid w:val="001A2EE0"/>
    <w:rsid w:val="001A3178"/>
    <w:rsid w:val="001A60F9"/>
    <w:rsid w:val="001A799D"/>
    <w:rsid w:val="001B02C5"/>
    <w:rsid w:val="001B045C"/>
    <w:rsid w:val="001B08A5"/>
    <w:rsid w:val="001B1276"/>
    <w:rsid w:val="001B13DF"/>
    <w:rsid w:val="001B18CA"/>
    <w:rsid w:val="001B18D9"/>
    <w:rsid w:val="001B2C00"/>
    <w:rsid w:val="001B3754"/>
    <w:rsid w:val="001B383B"/>
    <w:rsid w:val="001B3EF9"/>
    <w:rsid w:val="001B4C98"/>
    <w:rsid w:val="001B4CB4"/>
    <w:rsid w:val="001B538F"/>
    <w:rsid w:val="001B58AF"/>
    <w:rsid w:val="001B7AFC"/>
    <w:rsid w:val="001C0A03"/>
    <w:rsid w:val="001C0D33"/>
    <w:rsid w:val="001C2122"/>
    <w:rsid w:val="001C37D5"/>
    <w:rsid w:val="001C391C"/>
    <w:rsid w:val="001C42E3"/>
    <w:rsid w:val="001C4565"/>
    <w:rsid w:val="001C4648"/>
    <w:rsid w:val="001C4ECE"/>
    <w:rsid w:val="001C663A"/>
    <w:rsid w:val="001D01FE"/>
    <w:rsid w:val="001D08AA"/>
    <w:rsid w:val="001D1D5F"/>
    <w:rsid w:val="001D286A"/>
    <w:rsid w:val="001D3BA7"/>
    <w:rsid w:val="001D3FC2"/>
    <w:rsid w:val="001D4245"/>
    <w:rsid w:val="001D4C61"/>
    <w:rsid w:val="001D5480"/>
    <w:rsid w:val="001D5960"/>
    <w:rsid w:val="001D59DA"/>
    <w:rsid w:val="001E028D"/>
    <w:rsid w:val="001E040D"/>
    <w:rsid w:val="001E0C54"/>
    <w:rsid w:val="001E0D06"/>
    <w:rsid w:val="001E28E6"/>
    <w:rsid w:val="001E3603"/>
    <w:rsid w:val="001E4036"/>
    <w:rsid w:val="001E4CE2"/>
    <w:rsid w:val="001E51E7"/>
    <w:rsid w:val="001E6108"/>
    <w:rsid w:val="001E66D0"/>
    <w:rsid w:val="001E736F"/>
    <w:rsid w:val="001F04FE"/>
    <w:rsid w:val="001F11B6"/>
    <w:rsid w:val="001F129C"/>
    <w:rsid w:val="001F1D87"/>
    <w:rsid w:val="001F2044"/>
    <w:rsid w:val="001F44C6"/>
    <w:rsid w:val="001F6B3C"/>
    <w:rsid w:val="002002C5"/>
    <w:rsid w:val="002007A8"/>
    <w:rsid w:val="00200B9B"/>
    <w:rsid w:val="00201210"/>
    <w:rsid w:val="00202400"/>
    <w:rsid w:val="0020387E"/>
    <w:rsid w:val="00203FD1"/>
    <w:rsid w:val="00204B3A"/>
    <w:rsid w:val="00204D54"/>
    <w:rsid w:val="00205FAE"/>
    <w:rsid w:val="00207593"/>
    <w:rsid w:val="002076AE"/>
    <w:rsid w:val="0021193F"/>
    <w:rsid w:val="0021268D"/>
    <w:rsid w:val="00213D34"/>
    <w:rsid w:val="00214FA8"/>
    <w:rsid w:val="00215D0B"/>
    <w:rsid w:val="00215D9E"/>
    <w:rsid w:val="00216D85"/>
    <w:rsid w:val="00217D9A"/>
    <w:rsid w:val="00217F4E"/>
    <w:rsid w:val="00220727"/>
    <w:rsid w:val="00220A8F"/>
    <w:rsid w:val="00220E2C"/>
    <w:rsid w:val="00222340"/>
    <w:rsid w:val="00222E74"/>
    <w:rsid w:val="00223020"/>
    <w:rsid w:val="0022357F"/>
    <w:rsid w:val="0022364E"/>
    <w:rsid w:val="00223FE5"/>
    <w:rsid w:val="00224027"/>
    <w:rsid w:val="002244FB"/>
    <w:rsid w:val="0022505F"/>
    <w:rsid w:val="00225A4E"/>
    <w:rsid w:val="00225E8F"/>
    <w:rsid w:val="002278EF"/>
    <w:rsid w:val="00231490"/>
    <w:rsid w:val="00232DDC"/>
    <w:rsid w:val="002333EA"/>
    <w:rsid w:val="002363C3"/>
    <w:rsid w:val="00236EBE"/>
    <w:rsid w:val="002374A7"/>
    <w:rsid w:val="00237E7A"/>
    <w:rsid w:val="00240398"/>
    <w:rsid w:val="002409BB"/>
    <w:rsid w:val="00241225"/>
    <w:rsid w:val="002419F3"/>
    <w:rsid w:val="0024277F"/>
    <w:rsid w:val="002435CC"/>
    <w:rsid w:val="002443C7"/>
    <w:rsid w:val="00244AB6"/>
    <w:rsid w:val="00245357"/>
    <w:rsid w:val="002454CA"/>
    <w:rsid w:val="00245728"/>
    <w:rsid w:val="00245EB0"/>
    <w:rsid w:val="00247BBD"/>
    <w:rsid w:val="00250714"/>
    <w:rsid w:val="00250F23"/>
    <w:rsid w:val="00252BD6"/>
    <w:rsid w:val="00252CAB"/>
    <w:rsid w:val="00252E50"/>
    <w:rsid w:val="002538FE"/>
    <w:rsid w:val="00253AD3"/>
    <w:rsid w:val="00254C40"/>
    <w:rsid w:val="00254DE8"/>
    <w:rsid w:val="00255E91"/>
    <w:rsid w:val="002560F9"/>
    <w:rsid w:val="00260C32"/>
    <w:rsid w:val="00262587"/>
    <w:rsid w:val="00263257"/>
    <w:rsid w:val="002635F3"/>
    <w:rsid w:val="0026368F"/>
    <w:rsid w:val="0026580A"/>
    <w:rsid w:val="00265D84"/>
    <w:rsid w:val="00265EF9"/>
    <w:rsid w:val="00267652"/>
    <w:rsid w:val="002676CE"/>
    <w:rsid w:val="002676DA"/>
    <w:rsid w:val="00267B16"/>
    <w:rsid w:val="00267DF0"/>
    <w:rsid w:val="0027071B"/>
    <w:rsid w:val="00270A31"/>
    <w:rsid w:val="00270BB6"/>
    <w:rsid w:val="00271177"/>
    <w:rsid w:val="00271789"/>
    <w:rsid w:val="00272117"/>
    <w:rsid w:val="002751A0"/>
    <w:rsid w:val="00275669"/>
    <w:rsid w:val="00276278"/>
    <w:rsid w:val="002775FA"/>
    <w:rsid w:val="00277F77"/>
    <w:rsid w:val="00280856"/>
    <w:rsid w:val="002809FE"/>
    <w:rsid w:val="00280C7F"/>
    <w:rsid w:val="00281271"/>
    <w:rsid w:val="00281F7B"/>
    <w:rsid w:val="00282152"/>
    <w:rsid w:val="002825A1"/>
    <w:rsid w:val="00282827"/>
    <w:rsid w:val="00282F9C"/>
    <w:rsid w:val="0028464A"/>
    <w:rsid w:val="00284C1A"/>
    <w:rsid w:val="00284C9F"/>
    <w:rsid w:val="00285032"/>
    <w:rsid w:val="002857F9"/>
    <w:rsid w:val="00286BD1"/>
    <w:rsid w:val="00286BD3"/>
    <w:rsid w:val="00286E2C"/>
    <w:rsid w:val="00287253"/>
    <w:rsid w:val="002914A2"/>
    <w:rsid w:val="00291D0D"/>
    <w:rsid w:val="00291E21"/>
    <w:rsid w:val="00292C25"/>
    <w:rsid w:val="00293521"/>
    <w:rsid w:val="00293939"/>
    <w:rsid w:val="002939EF"/>
    <w:rsid w:val="00294584"/>
    <w:rsid w:val="00294641"/>
    <w:rsid w:val="00295370"/>
    <w:rsid w:val="00295568"/>
    <w:rsid w:val="00295E84"/>
    <w:rsid w:val="002961AC"/>
    <w:rsid w:val="002969AA"/>
    <w:rsid w:val="0029780B"/>
    <w:rsid w:val="00297812"/>
    <w:rsid w:val="00297B97"/>
    <w:rsid w:val="002A0BF2"/>
    <w:rsid w:val="002A1065"/>
    <w:rsid w:val="002A2598"/>
    <w:rsid w:val="002A263A"/>
    <w:rsid w:val="002A5240"/>
    <w:rsid w:val="002A691D"/>
    <w:rsid w:val="002A7420"/>
    <w:rsid w:val="002A7F1F"/>
    <w:rsid w:val="002B008D"/>
    <w:rsid w:val="002B02BC"/>
    <w:rsid w:val="002B309F"/>
    <w:rsid w:val="002B378C"/>
    <w:rsid w:val="002B4636"/>
    <w:rsid w:val="002B64A1"/>
    <w:rsid w:val="002B70FE"/>
    <w:rsid w:val="002B777E"/>
    <w:rsid w:val="002C0CE1"/>
    <w:rsid w:val="002C0F4F"/>
    <w:rsid w:val="002C134E"/>
    <w:rsid w:val="002C1D4A"/>
    <w:rsid w:val="002C27F4"/>
    <w:rsid w:val="002C41E1"/>
    <w:rsid w:val="002C523E"/>
    <w:rsid w:val="002C693A"/>
    <w:rsid w:val="002C6AB6"/>
    <w:rsid w:val="002C772B"/>
    <w:rsid w:val="002C7DE7"/>
    <w:rsid w:val="002D1604"/>
    <w:rsid w:val="002D28E3"/>
    <w:rsid w:val="002D3038"/>
    <w:rsid w:val="002D6CF6"/>
    <w:rsid w:val="002E0B3A"/>
    <w:rsid w:val="002E0FCB"/>
    <w:rsid w:val="002E123A"/>
    <w:rsid w:val="002E1377"/>
    <w:rsid w:val="002E1E2F"/>
    <w:rsid w:val="002E314D"/>
    <w:rsid w:val="002E42FB"/>
    <w:rsid w:val="002E4597"/>
    <w:rsid w:val="002E4ED4"/>
    <w:rsid w:val="002E51F1"/>
    <w:rsid w:val="002E74DA"/>
    <w:rsid w:val="002F1627"/>
    <w:rsid w:val="002F494D"/>
    <w:rsid w:val="002F4EF1"/>
    <w:rsid w:val="002F7364"/>
    <w:rsid w:val="00301922"/>
    <w:rsid w:val="00302526"/>
    <w:rsid w:val="00303189"/>
    <w:rsid w:val="00303B9D"/>
    <w:rsid w:val="003042E9"/>
    <w:rsid w:val="003059BA"/>
    <w:rsid w:val="0030646E"/>
    <w:rsid w:val="003076B2"/>
    <w:rsid w:val="00307905"/>
    <w:rsid w:val="003110DE"/>
    <w:rsid w:val="003111AB"/>
    <w:rsid w:val="003116AF"/>
    <w:rsid w:val="00312295"/>
    <w:rsid w:val="00313E60"/>
    <w:rsid w:val="00313F2B"/>
    <w:rsid w:val="00314A5E"/>
    <w:rsid w:val="0031586A"/>
    <w:rsid w:val="00316044"/>
    <w:rsid w:val="003202D7"/>
    <w:rsid w:val="003208E8"/>
    <w:rsid w:val="00320E83"/>
    <w:rsid w:val="00323B60"/>
    <w:rsid w:val="00323C05"/>
    <w:rsid w:val="003241FF"/>
    <w:rsid w:val="00324327"/>
    <w:rsid w:val="00327332"/>
    <w:rsid w:val="003279C1"/>
    <w:rsid w:val="00327B32"/>
    <w:rsid w:val="0033016D"/>
    <w:rsid w:val="00332C39"/>
    <w:rsid w:val="00333062"/>
    <w:rsid w:val="00333878"/>
    <w:rsid w:val="00333DF2"/>
    <w:rsid w:val="0033529F"/>
    <w:rsid w:val="003364DA"/>
    <w:rsid w:val="00336F6A"/>
    <w:rsid w:val="00337776"/>
    <w:rsid w:val="003403C2"/>
    <w:rsid w:val="0034139C"/>
    <w:rsid w:val="00341486"/>
    <w:rsid w:val="00341731"/>
    <w:rsid w:val="00342366"/>
    <w:rsid w:val="003428BC"/>
    <w:rsid w:val="00342D2E"/>
    <w:rsid w:val="003432EE"/>
    <w:rsid w:val="00344654"/>
    <w:rsid w:val="00351758"/>
    <w:rsid w:val="00352110"/>
    <w:rsid w:val="0035246F"/>
    <w:rsid w:val="00352FC8"/>
    <w:rsid w:val="0035384A"/>
    <w:rsid w:val="003548DA"/>
    <w:rsid w:val="00354973"/>
    <w:rsid w:val="00356854"/>
    <w:rsid w:val="00357445"/>
    <w:rsid w:val="0036072C"/>
    <w:rsid w:val="00361BBB"/>
    <w:rsid w:val="003632BB"/>
    <w:rsid w:val="00364AEF"/>
    <w:rsid w:val="00365046"/>
    <w:rsid w:val="00365110"/>
    <w:rsid w:val="00365736"/>
    <w:rsid w:val="00366036"/>
    <w:rsid w:val="0036605D"/>
    <w:rsid w:val="0036699D"/>
    <w:rsid w:val="0036797D"/>
    <w:rsid w:val="00370397"/>
    <w:rsid w:val="00371569"/>
    <w:rsid w:val="003721AF"/>
    <w:rsid w:val="00372F6B"/>
    <w:rsid w:val="00373AA7"/>
    <w:rsid w:val="003741EF"/>
    <w:rsid w:val="00374960"/>
    <w:rsid w:val="00374B9E"/>
    <w:rsid w:val="0037502D"/>
    <w:rsid w:val="003750A6"/>
    <w:rsid w:val="00375D25"/>
    <w:rsid w:val="003772FB"/>
    <w:rsid w:val="00377939"/>
    <w:rsid w:val="00377E82"/>
    <w:rsid w:val="00377EC8"/>
    <w:rsid w:val="00380C48"/>
    <w:rsid w:val="00381265"/>
    <w:rsid w:val="00381B0A"/>
    <w:rsid w:val="0038262C"/>
    <w:rsid w:val="00382C3A"/>
    <w:rsid w:val="0038340E"/>
    <w:rsid w:val="00383672"/>
    <w:rsid w:val="00384636"/>
    <w:rsid w:val="00386136"/>
    <w:rsid w:val="00386557"/>
    <w:rsid w:val="00387BE8"/>
    <w:rsid w:val="0039177C"/>
    <w:rsid w:val="00391E07"/>
    <w:rsid w:val="00394229"/>
    <w:rsid w:val="0039444B"/>
    <w:rsid w:val="0039444C"/>
    <w:rsid w:val="00394CEE"/>
    <w:rsid w:val="00394EA4"/>
    <w:rsid w:val="00395051"/>
    <w:rsid w:val="003951A5"/>
    <w:rsid w:val="003963CA"/>
    <w:rsid w:val="003966ED"/>
    <w:rsid w:val="00396B68"/>
    <w:rsid w:val="003973C1"/>
    <w:rsid w:val="00397890"/>
    <w:rsid w:val="00397C89"/>
    <w:rsid w:val="003A1BA3"/>
    <w:rsid w:val="003A1BAB"/>
    <w:rsid w:val="003A1BD6"/>
    <w:rsid w:val="003A208C"/>
    <w:rsid w:val="003A2F5A"/>
    <w:rsid w:val="003A340A"/>
    <w:rsid w:val="003A4157"/>
    <w:rsid w:val="003A458D"/>
    <w:rsid w:val="003A461F"/>
    <w:rsid w:val="003A5DE6"/>
    <w:rsid w:val="003A6791"/>
    <w:rsid w:val="003A76C6"/>
    <w:rsid w:val="003B02AF"/>
    <w:rsid w:val="003B24BE"/>
    <w:rsid w:val="003B3365"/>
    <w:rsid w:val="003B39D7"/>
    <w:rsid w:val="003B42DB"/>
    <w:rsid w:val="003B432A"/>
    <w:rsid w:val="003B4690"/>
    <w:rsid w:val="003B47B7"/>
    <w:rsid w:val="003B6A8F"/>
    <w:rsid w:val="003B6A90"/>
    <w:rsid w:val="003C0F2F"/>
    <w:rsid w:val="003C21A7"/>
    <w:rsid w:val="003C27D2"/>
    <w:rsid w:val="003C2B77"/>
    <w:rsid w:val="003C304E"/>
    <w:rsid w:val="003C3B88"/>
    <w:rsid w:val="003C403E"/>
    <w:rsid w:val="003C5705"/>
    <w:rsid w:val="003C6922"/>
    <w:rsid w:val="003C7540"/>
    <w:rsid w:val="003D2584"/>
    <w:rsid w:val="003D2BD6"/>
    <w:rsid w:val="003D2C24"/>
    <w:rsid w:val="003D346F"/>
    <w:rsid w:val="003D3C26"/>
    <w:rsid w:val="003D447F"/>
    <w:rsid w:val="003D448B"/>
    <w:rsid w:val="003D4C20"/>
    <w:rsid w:val="003D4EF8"/>
    <w:rsid w:val="003D622E"/>
    <w:rsid w:val="003D6657"/>
    <w:rsid w:val="003E1137"/>
    <w:rsid w:val="003E28D1"/>
    <w:rsid w:val="003E2D92"/>
    <w:rsid w:val="003E36A1"/>
    <w:rsid w:val="003E38D2"/>
    <w:rsid w:val="003E56BB"/>
    <w:rsid w:val="003E69F6"/>
    <w:rsid w:val="003E6F02"/>
    <w:rsid w:val="003F0B35"/>
    <w:rsid w:val="003F1368"/>
    <w:rsid w:val="003F25A2"/>
    <w:rsid w:val="003F2760"/>
    <w:rsid w:val="003F4B8B"/>
    <w:rsid w:val="003F5352"/>
    <w:rsid w:val="003F5F15"/>
    <w:rsid w:val="003F6017"/>
    <w:rsid w:val="003F71CC"/>
    <w:rsid w:val="003F7A15"/>
    <w:rsid w:val="0040081E"/>
    <w:rsid w:val="004008F8"/>
    <w:rsid w:val="00400BC1"/>
    <w:rsid w:val="00401130"/>
    <w:rsid w:val="0040156D"/>
    <w:rsid w:val="00403F83"/>
    <w:rsid w:val="00405417"/>
    <w:rsid w:val="00405F8D"/>
    <w:rsid w:val="0040753C"/>
    <w:rsid w:val="0041167C"/>
    <w:rsid w:val="00411AA3"/>
    <w:rsid w:val="004138DE"/>
    <w:rsid w:val="00414996"/>
    <w:rsid w:val="0041639E"/>
    <w:rsid w:val="00420CE8"/>
    <w:rsid w:val="0042151A"/>
    <w:rsid w:val="00423664"/>
    <w:rsid w:val="00423785"/>
    <w:rsid w:val="0042435A"/>
    <w:rsid w:val="004274A4"/>
    <w:rsid w:val="00427AE4"/>
    <w:rsid w:val="00430220"/>
    <w:rsid w:val="00430BDD"/>
    <w:rsid w:val="00430DE8"/>
    <w:rsid w:val="00431C09"/>
    <w:rsid w:val="004320D8"/>
    <w:rsid w:val="00432198"/>
    <w:rsid w:val="00432464"/>
    <w:rsid w:val="004329A9"/>
    <w:rsid w:val="00432C54"/>
    <w:rsid w:val="00433231"/>
    <w:rsid w:val="00435F58"/>
    <w:rsid w:val="00436805"/>
    <w:rsid w:val="00437606"/>
    <w:rsid w:val="00437EBE"/>
    <w:rsid w:val="00440357"/>
    <w:rsid w:val="004409AE"/>
    <w:rsid w:val="00443AE0"/>
    <w:rsid w:val="00443C2A"/>
    <w:rsid w:val="004440BB"/>
    <w:rsid w:val="004449B9"/>
    <w:rsid w:val="0044566D"/>
    <w:rsid w:val="00446B32"/>
    <w:rsid w:val="00447892"/>
    <w:rsid w:val="00447A52"/>
    <w:rsid w:val="00447A77"/>
    <w:rsid w:val="00447DAC"/>
    <w:rsid w:val="00450542"/>
    <w:rsid w:val="00451B4E"/>
    <w:rsid w:val="004527C0"/>
    <w:rsid w:val="0045339B"/>
    <w:rsid w:val="0045354D"/>
    <w:rsid w:val="004539AD"/>
    <w:rsid w:val="00454948"/>
    <w:rsid w:val="0045511E"/>
    <w:rsid w:val="00455497"/>
    <w:rsid w:val="00456794"/>
    <w:rsid w:val="004600BA"/>
    <w:rsid w:val="00461D22"/>
    <w:rsid w:val="0046231D"/>
    <w:rsid w:val="00462CEA"/>
    <w:rsid w:val="00462E82"/>
    <w:rsid w:val="00462F88"/>
    <w:rsid w:val="0046315C"/>
    <w:rsid w:val="0046485C"/>
    <w:rsid w:val="004648D7"/>
    <w:rsid w:val="00466089"/>
    <w:rsid w:val="0046682A"/>
    <w:rsid w:val="0047083A"/>
    <w:rsid w:val="00470F74"/>
    <w:rsid w:val="00473D15"/>
    <w:rsid w:val="004749F8"/>
    <w:rsid w:val="00475736"/>
    <w:rsid w:val="00475CCB"/>
    <w:rsid w:val="004762FE"/>
    <w:rsid w:val="00476332"/>
    <w:rsid w:val="00477673"/>
    <w:rsid w:val="00477BEF"/>
    <w:rsid w:val="00477C0E"/>
    <w:rsid w:val="00477EC9"/>
    <w:rsid w:val="00480F27"/>
    <w:rsid w:val="00481F30"/>
    <w:rsid w:val="00481FC8"/>
    <w:rsid w:val="00482741"/>
    <w:rsid w:val="004829B8"/>
    <w:rsid w:val="004834B3"/>
    <w:rsid w:val="004858A5"/>
    <w:rsid w:val="00487172"/>
    <w:rsid w:val="00487E9A"/>
    <w:rsid w:val="004902C1"/>
    <w:rsid w:val="00490D75"/>
    <w:rsid w:val="004916C6"/>
    <w:rsid w:val="004923ED"/>
    <w:rsid w:val="00492B21"/>
    <w:rsid w:val="00493A01"/>
    <w:rsid w:val="00493B0A"/>
    <w:rsid w:val="00494E72"/>
    <w:rsid w:val="0049597E"/>
    <w:rsid w:val="00496305"/>
    <w:rsid w:val="00496F26"/>
    <w:rsid w:val="00497170"/>
    <w:rsid w:val="00497C56"/>
    <w:rsid w:val="00497CCB"/>
    <w:rsid w:val="004A012C"/>
    <w:rsid w:val="004A1408"/>
    <w:rsid w:val="004A1B6A"/>
    <w:rsid w:val="004A1BAD"/>
    <w:rsid w:val="004A3B28"/>
    <w:rsid w:val="004A401C"/>
    <w:rsid w:val="004A4312"/>
    <w:rsid w:val="004A4BB4"/>
    <w:rsid w:val="004A56F0"/>
    <w:rsid w:val="004A5E85"/>
    <w:rsid w:val="004A6CD3"/>
    <w:rsid w:val="004A6FDB"/>
    <w:rsid w:val="004A7566"/>
    <w:rsid w:val="004B0160"/>
    <w:rsid w:val="004B337C"/>
    <w:rsid w:val="004B4575"/>
    <w:rsid w:val="004B4CC0"/>
    <w:rsid w:val="004B7B61"/>
    <w:rsid w:val="004B7EE9"/>
    <w:rsid w:val="004C1E42"/>
    <w:rsid w:val="004C320D"/>
    <w:rsid w:val="004C36DF"/>
    <w:rsid w:val="004C38B9"/>
    <w:rsid w:val="004C402D"/>
    <w:rsid w:val="004C4CE0"/>
    <w:rsid w:val="004C55B0"/>
    <w:rsid w:val="004C7BF0"/>
    <w:rsid w:val="004D097D"/>
    <w:rsid w:val="004D1565"/>
    <w:rsid w:val="004D16F5"/>
    <w:rsid w:val="004D1DE1"/>
    <w:rsid w:val="004D350F"/>
    <w:rsid w:val="004D3CBA"/>
    <w:rsid w:val="004D4C70"/>
    <w:rsid w:val="004D513A"/>
    <w:rsid w:val="004D5A4E"/>
    <w:rsid w:val="004D6500"/>
    <w:rsid w:val="004D659C"/>
    <w:rsid w:val="004E0C16"/>
    <w:rsid w:val="004E1BCD"/>
    <w:rsid w:val="004E2457"/>
    <w:rsid w:val="004E2C75"/>
    <w:rsid w:val="004E2E94"/>
    <w:rsid w:val="004E38C4"/>
    <w:rsid w:val="004E3A7E"/>
    <w:rsid w:val="004E4391"/>
    <w:rsid w:val="004E4AB1"/>
    <w:rsid w:val="004E4C50"/>
    <w:rsid w:val="004E50B6"/>
    <w:rsid w:val="004E5952"/>
    <w:rsid w:val="004E713A"/>
    <w:rsid w:val="004E7382"/>
    <w:rsid w:val="004E7D49"/>
    <w:rsid w:val="004F0D77"/>
    <w:rsid w:val="004F1BDB"/>
    <w:rsid w:val="004F1E28"/>
    <w:rsid w:val="004F323D"/>
    <w:rsid w:val="004F412C"/>
    <w:rsid w:val="004F4EAD"/>
    <w:rsid w:val="004F50EF"/>
    <w:rsid w:val="004F523B"/>
    <w:rsid w:val="004F53AE"/>
    <w:rsid w:val="004F5FF8"/>
    <w:rsid w:val="004F6797"/>
    <w:rsid w:val="004F7560"/>
    <w:rsid w:val="004F7D71"/>
    <w:rsid w:val="00501116"/>
    <w:rsid w:val="00501529"/>
    <w:rsid w:val="00501622"/>
    <w:rsid w:val="00501670"/>
    <w:rsid w:val="005016BD"/>
    <w:rsid w:val="0050259E"/>
    <w:rsid w:val="00502A47"/>
    <w:rsid w:val="00502B2D"/>
    <w:rsid w:val="00502C55"/>
    <w:rsid w:val="00503024"/>
    <w:rsid w:val="00503D76"/>
    <w:rsid w:val="00504A85"/>
    <w:rsid w:val="00505853"/>
    <w:rsid w:val="00505CAA"/>
    <w:rsid w:val="005074A0"/>
    <w:rsid w:val="005101B9"/>
    <w:rsid w:val="00510CC8"/>
    <w:rsid w:val="00511B62"/>
    <w:rsid w:val="005123AE"/>
    <w:rsid w:val="005123E7"/>
    <w:rsid w:val="0051277D"/>
    <w:rsid w:val="005150A2"/>
    <w:rsid w:val="0051538C"/>
    <w:rsid w:val="00515842"/>
    <w:rsid w:val="00515E00"/>
    <w:rsid w:val="0051670B"/>
    <w:rsid w:val="005172A9"/>
    <w:rsid w:val="00517D12"/>
    <w:rsid w:val="00520726"/>
    <w:rsid w:val="00520B7F"/>
    <w:rsid w:val="005251B8"/>
    <w:rsid w:val="005256B5"/>
    <w:rsid w:val="00526259"/>
    <w:rsid w:val="005303EE"/>
    <w:rsid w:val="00530FE7"/>
    <w:rsid w:val="00531DAB"/>
    <w:rsid w:val="005333E6"/>
    <w:rsid w:val="005337CE"/>
    <w:rsid w:val="005346C2"/>
    <w:rsid w:val="005353FE"/>
    <w:rsid w:val="00540333"/>
    <w:rsid w:val="00541143"/>
    <w:rsid w:val="00541CCB"/>
    <w:rsid w:val="00542C86"/>
    <w:rsid w:val="005438E2"/>
    <w:rsid w:val="00545151"/>
    <w:rsid w:val="0054540F"/>
    <w:rsid w:val="0054635C"/>
    <w:rsid w:val="005503BC"/>
    <w:rsid w:val="00550640"/>
    <w:rsid w:val="0055202D"/>
    <w:rsid w:val="00552183"/>
    <w:rsid w:val="0055246B"/>
    <w:rsid w:val="00552725"/>
    <w:rsid w:val="00555820"/>
    <w:rsid w:val="00555CD0"/>
    <w:rsid w:val="00555E25"/>
    <w:rsid w:val="005576CE"/>
    <w:rsid w:val="00557744"/>
    <w:rsid w:val="00557E87"/>
    <w:rsid w:val="00560C15"/>
    <w:rsid w:val="00561B0F"/>
    <w:rsid w:val="0056235C"/>
    <w:rsid w:val="00562AA0"/>
    <w:rsid w:val="00562CD2"/>
    <w:rsid w:val="00563C96"/>
    <w:rsid w:val="00564659"/>
    <w:rsid w:val="00564E96"/>
    <w:rsid w:val="00565125"/>
    <w:rsid w:val="0056579F"/>
    <w:rsid w:val="00566FC5"/>
    <w:rsid w:val="00570079"/>
    <w:rsid w:val="00571214"/>
    <w:rsid w:val="0057273A"/>
    <w:rsid w:val="005731BD"/>
    <w:rsid w:val="005736AC"/>
    <w:rsid w:val="005738D0"/>
    <w:rsid w:val="00573F1D"/>
    <w:rsid w:val="00574910"/>
    <w:rsid w:val="00575B6B"/>
    <w:rsid w:val="00575F85"/>
    <w:rsid w:val="00576542"/>
    <w:rsid w:val="00577E57"/>
    <w:rsid w:val="00580AAB"/>
    <w:rsid w:val="0058147F"/>
    <w:rsid w:val="00583CA6"/>
    <w:rsid w:val="00584308"/>
    <w:rsid w:val="0058533E"/>
    <w:rsid w:val="0058589E"/>
    <w:rsid w:val="00586D0A"/>
    <w:rsid w:val="00586E69"/>
    <w:rsid w:val="00586F2A"/>
    <w:rsid w:val="00587A00"/>
    <w:rsid w:val="00587B43"/>
    <w:rsid w:val="005907F3"/>
    <w:rsid w:val="00591194"/>
    <w:rsid w:val="00591545"/>
    <w:rsid w:val="00591B08"/>
    <w:rsid w:val="00591EDF"/>
    <w:rsid w:val="005925FB"/>
    <w:rsid w:val="00592605"/>
    <w:rsid w:val="00592652"/>
    <w:rsid w:val="00592B2E"/>
    <w:rsid w:val="00592B83"/>
    <w:rsid w:val="00593BF9"/>
    <w:rsid w:val="00594C5F"/>
    <w:rsid w:val="00594F7B"/>
    <w:rsid w:val="005957A1"/>
    <w:rsid w:val="00595D6F"/>
    <w:rsid w:val="005963F8"/>
    <w:rsid w:val="00597102"/>
    <w:rsid w:val="005A005A"/>
    <w:rsid w:val="005A2EE3"/>
    <w:rsid w:val="005A464D"/>
    <w:rsid w:val="005A46AA"/>
    <w:rsid w:val="005A53ED"/>
    <w:rsid w:val="005A565A"/>
    <w:rsid w:val="005A7351"/>
    <w:rsid w:val="005B0EB1"/>
    <w:rsid w:val="005B1CDF"/>
    <w:rsid w:val="005B3679"/>
    <w:rsid w:val="005B4657"/>
    <w:rsid w:val="005B6769"/>
    <w:rsid w:val="005B71DD"/>
    <w:rsid w:val="005B7757"/>
    <w:rsid w:val="005C04BB"/>
    <w:rsid w:val="005C0EEC"/>
    <w:rsid w:val="005C140F"/>
    <w:rsid w:val="005C163B"/>
    <w:rsid w:val="005C4B38"/>
    <w:rsid w:val="005C4D22"/>
    <w:rsid w:val="005C55F7"/>
    <w:rsid w:val="005C5BFE"/>
    <w:rsid w:val="005C5EAB"/>
    <w:rsid w:val="005C6E9A"/>
    <w:rsid w:val="005C7350"/>
    <w:rsid w:val="005D0508"/>
    <w:rsid w:val="005D09F0"/>
    <w:rsid w:val="005D2290"/>
    <w:rsid w:val="005D42E5"/>
    <w:rsid w:val="005D4739"/>
    <w:rsid w:val="005D497B"/>
    <w:rsid w:val="005D4B8F"/>
    <w:rsid w:val="005D4BEB"/>
    <w:rsid w:val="005D6B6C"/>
    <w:rsid w:val="005D708C"/>
    <w:rsid w:val="005E00CC"/>
    <w:rsid w:val="005E1124"/>
    <w:rsid w:val="005E1591"/>
    <w:rsid w:val="005E2281"/>
    <w:rsid w:val="005E4537"/>
    <w:rsid w:val="005E4A7A"/>
    <w:rsid w:val="005E52B7"/>
    <w:rsid w:val="005E5760"/>
    <w:rsid w:val="005E5AA9"/>
    <w:rsid w:val="005E6CA4"/>
    <w:rsid w:val="005E757B"/>
    <w:rsid w:val="005F172D"/>
    <w:rsid w:val="005F3877"/>
    <w:rsid w:val="005F5122"/>
    <w:rsid w:val="005F5876"/>
    <w:rsid w:val="005F5E6A"/>
    <w:rsid w:val="005F635C"/>
    <w:rsid w:val="005F683C"/>
    <w:rsid w:val="005F70A4"/>
    <w:rsid w:val="006001B1"/>
    <w:rsid w:val="006001C3"/>
    <w:rsid w:val="00600D19"/>
    <w:rsid w:val="00602C31"/>
    <w:rsid w:val="00602EFA"/>
    <w:rsid w:val="006032C1"/>
    <w:rsid w:val="00603AAB"/>
    <w:rsid w:val="0060412C"/>
    <w:rsid w:val="0060594A"/>
    <w:rsid w:val="006069C6"/>
    <w:rsid w:val="006071E8"/>
    <w:rsid w:val="00607F79"/>
    <w:rsid w:val="0061219F"/>
    <w:rsid w:val="00612663"/>
    <w:rsid w:val="00612B41"/>
    <w:rsid w:val="00613AC0"/>
    <w:rsid w:val="00614A4C"/>
    <w:rsid w:val="00617BB4"/>
    <w:rsid w:val="0062306E"/>
    <w:rsid w:val="00624F86"/>
    <w:rsid w:val="00624FE0"/>
    <w:rsid w:val="00625201"/>
    <w:rsid w:val="006255B2"/>
    <w:rsid w:val="0062561C"/>
    <w:rsid w:val="00627BF0"/>
    <w:rsid w:val="006307C8"/>
    <w:rsid w:val="00631A62"/>
    <w:rsid w:val="006334E5"/>
    <w:rsid w:val="00633850"/>
    <w:rsid w:val="00633F06"/>
    <w:rsid w:val="00634132"/>
    <w:rsid w:val="006349CA"/>
    <w:rsid w:val="00634D26"/>
    <w:rsid w:val="00634EA5"/>
    <w:rsid w:val="00635777"/>
    <w:rsid w:val="00635DDB"/>
    <w:rsid w:val="00635DED"/>
    <w:rsid w:val="00635F73"/>
    <w:rsid w:val="0063764B"/>
    <w:rsid w:val="00640FEB"/>
    <w:rsid w:val="00641266"/>
    <w:rsid w:val="0064172E"/>
    <w:rsid w:val="006419B2"/>
    <w:rsid w:val="0064266D"/>
    <w:rsid w:val="00646A30"/>
    <w:rsid w:val="006471C9"/>
    <w:rsid w:val="00647D8C"/>
    <w:rsid w:val="00652CDB"/>
    <w:rsid w:val="00653259"/>
    <w:rsid w:val="00653389"/>
    <w:rsid w:val="00654077"/>
    <w:rsid w:val="0065413B"/>
    <w:rsid w:val="0065422D"/>
    <w:rsid w:val="00654452"/>
    <w:rsid w:val="006546CC"/>
    <w:rsid w:val="00655993"/>
    <w:rsid w:val="00655B15"/>
    <w:rsid w:val="006565A6"/>
    <w:rsid w:val="006574C3"/>
    <w:rsid w:val="006578D8"/>
    <w:rsid w:val="00660B56"/>
    <w:rsid w:val="00660EC4"/>
    <w:rsid w:val="00661841"/>
    <w:rsid w:val="00661D41"/>
    <w:rsid w:val="00662353"/>
    <w:rsid w:val="00662D31"/>
    <w:rsid w:val="00663920"/>
    <w:rsid w:val="00663A2E"/>
    <w:rsid w:val="00664190"/>
    <w:rsid w:val="006645DE"/>
    <w:rsid w:val="0066495A"/>
    <w:rsid w:val="00664BB2"/>
    <w:rsid w:val="00666786"/>
    <w:rsid w:val="006675F6"/>
    <w:rsid w:val="00667815"/>
    <w:rsid w:val="006702E6"/>
    <w:rsid w:val="0067157B"/>
    <w:rsid w:val="00671590"/>
    <w:rsid w:val="006726EE"/>
    <w:rsid w:val="00674507"/>
    <w:rsid w:val="006745BF"/>
    <w:rsid w:val="006759AB"/>
    <w:rsid w:val="00675E3A"/>
    <w:rsid w:val="00676822"/>
    <w:rsid w:val="00676DD4"/>
    <w:rsid w:val="00677802"/>
    <w:rsid w:val="006808E6"/>
    <w:rsid w:val="00680D51"/>
    <w:rsid w:val="00680DB3"/>
    <w:rsid w:val="00682839"/>
    <w:rsid w:val="00682C29"/>
    <w:rsid w:val="006838B8"/>
    <w:rsid w:val="00684F56"/>
    <w:rsid w:val="00685873"/>
    <w:rsid w:val="00685BFD"/>
    <w:rsid w:val="00685E63"/>
    <w:rsid w:val="00690062"/>
    <w:rsid w:val="006916BC"/>
    <w:rsid w:val="00691D06"/>
    <w:rsid w:val="00692715"/>
    <w:rsid w:val="00692A62"/>
    <w:rsid w:val="00693A42"/>
    <w:rsid w:val="0069571C"/>
    <w:rsid w:val="00695EB3"/>
    <w:rsid w:val="00697250"/>
    <w:rsid w:val="00697514"/>
    <w:rsid w:val="00697939"/>
    <w:rsid w:val="00697CED"/>
    <w:rsid w:val="00697D08"/>
    <w:rsid w:val="00697D1E"/>
    <w:rsid w:val="006A0228"/>
    <w:rsid w:val="006A024F"/>
    <w:rsid w:val="006A048C"/>
    <w:rsid w:val="006A094E"/>
    <w:rsid w:val="006A1C5D"/>
    <w:rsid w:val="006A22E1"/>
    <w:rsid w:val="006A310B"/>
    <w:rsid w:val="006A4118"/>
    <w:rsid w:val="006A4A54"/>
    <w:rsid w:val="006A4D04"/>
    <w:rsid w:val="006A52EE"/>
    <w:rsid w:val="006A5BC7"/>
    <w:rsid w:val="006A5FCF"/>
    <w:rsid w:val="006A60DF"/>
    <w:rsid w:val="006A6B6C"/>
    <w:rsid w:val="006A7C80"/>
    <w:rsid w:val="006B056B"/>
    <w:rsid w:val="006B1407"/>
    <w:rsid w:val="006B1D75"/>
    <w:rsid w:val="006B2762"/>
    <w:rsid w:val="006B33A7"/>
    <w:rsid w:val="006B37AE"/>
    <w:rsid w:val="006B44EC"/>
    <w:rsid w:val="006B63B8"/>
    <w:rsid w:val="006B681C"/>
    <w:rsid w:val="006B6C07"/>
    <w:rsid w:val="006B6D9B"/>
    <w:rsid w:val="006C0315"/>
    <w:rsid w:val="006C07C3"/>
    <w:rsid w:val="006C0BF4"/>
    <w:rsid w:val="006C1235"/>
    <w:rsid w:val="006C1ACC"/>
    <w:rsid w:val="006C1F43"/>
    <w:rsid w:val="006C2263"/>
    <w:rsid w:val="006C2580"/>
    <w:rsid w:val="006C3F9B"/>
    <w:rsid w:val="006C44B7"/>
    <w:rsid w:val="006C486E"/>
    <w:rsid w:val="006C49FC"/>
    <w:rsid w:val="006C5666"/>
    <w:rsid w:val="006C7B06"/>
    <w:rsid w:val="006D02AC"/>
    <w:rsid w:val="006D0392"/>
    <w:rsid w:val="006D1B75"/>
    <w:rsid w:val="006D1D9D"/>
    <w:rsid w:val="006D340B"/>
    <w:rsid w:val="006D44B0"/>
    <w:rsid w:val="006D45DB"/>
    <w:rsid w:val="006D49D2"/>
    <w:rsid w:val="006D5271"/>
    <w:rsid w:val="006D5371"/>
    <w:rsid w:val="006D5787"/>
    <w:rsid w:val="006D6690"/>
    <w:rsid w:val="006E0C94"/>
    <w:rsid w:val="006E120D"/>
    <w:rsid w:val="006E14BC"/>
    <w:rsid w:val="006E1A06"/>
    <w:rsid w:val="006E2859"/>
    <w:rsid w:val="006E484E"/>
    <w:rsid w:val="006E4887"/>
    <w:rsid w:val="006E4D91"/>
    <w:rsid w:val="006E6364"/>
    <w:rsid w:val="006E686C"/>
    <w:rsid w:val="006F005C"/>
    <w:rsid w:val="006F0413"/>
    <w:rsid w:val="006F0B8C"/>
    <w:rsid w:val="006F1529"/>
    <w:rsid w:val="006F2234"/>
    <w:rsid w:val="006F2237"/>
    <w:rsid w:val="006F2CD3"/>
    <w:rsid w:val="006F2CF1"/>
    <w:rsid w:val="006F3866"/>
    <w:rsid w:val="006F4683"/>
    <w:rsid w:val="006F496B"/>
    <w:rsid w:val="006F498A"/>
    <w:rsid w:val="006F6C73"/>
    <w:rsid w:val="006F7B46"/>
    <w:rsid w:val="0070019D"/>
    <w:rsid w:val="007023B8"/>
    <w:rsid w:val="00702FBC"/>
    <w:rsid w:val="00703AEE"/>
    <w:rsid w:val="007040B1"/>
    <w:rsid w:val="0070411D"/>
    <w:rsid w:val="007044F0"/>
    <w:rsid w:val="00705157"/>
    <w:rsid w:val="00705599"/>
    <w:rsid w:val="00705625"/>
    <w:rsid w:val="00705976"/>
    <w:rsid w:val="00705BAE"/>
    <w:rsid w:val="00706056"/>
    <w:rsid w:val="00706310"/>
    <w:rsid w:val="0070689D"/>
    <w:rsid w:val="00706BDC"/>
    <w:rsid w:val="007073CF"/>
    <w:rsid w:val="00707936"/>
    <w:rsid w:val="00710D85"/>
    <w:rsid w:val="00711952"/>
    <w:rsid w:val="00712317"/>
    <w:rsid w:val="007135E4"/>
    <w:rsid w:val="00713877"/>
    <w:rsid w:val="007151F3"/>
    <w:rsid w:val="00715593"/>
    <w:rsid w:val="00715AFA"/>
    <w:rsid w:val="007161FE"/>
    <w:rsid w:val="00720A49"/>
    <w:rsid w:val="007225D9"/>
    <w:rsid w:val="00722C23"/>
    <w:rsid w:val="00723C99"/>
    <w:rsid w:val="00723D03"/>
    <w:rsid w:val="00724986"/>
    <w:rsid w:val="00724CD6"/>
    <w:rsid w:val="00725790"/>
    <w:rsid w:val="0072667D"/>
    <w:rsid w:val="007308D9"/>
    <w:rsid w:val="00731EC8"/>
    <w:rsid w:val="0073203B"/>
    <w:rsid w:val="0073227E"/>
    <w:rsid w:val="007326BB"/>
    <w:rsid w:val="00734019"/>
    <w:rsid w:val="0073441F"/>
    <w:rsid w:val="00734C84"/>
    <w:rsid w:val="0073648B"/>
    <w:rsid w:val="0073724A"/>
    <w:rsid w:val="00741DFA"/>
    <w:rsid w:val="00741FA2"/>
    <w:rsid w:val="00742249"/>
    <w:rsid w:val="00742376"/>
    <w:rsid w:val="00742864"/>
    <w:rsid w:val="00743D7F"/>
    <w:rsid w:val="00744094"/>
    <w:rsid w:val="00744545"/>
    <w:rsid w:val="007448B3"/>
    <w:rsid w:val="00747D5A"/>
    <w:rsid w:val="00747E12"/>
    <w:rsid w:val="0075033B"/>
    <w:rsid w:val="0075122B"/>
    <w:rsid w:val="007520A8"/>
    <w:rsid w:val="007524F0"/>
    <w:rsid w:val="00753A03"/>
    <w:rsid w:val="00753D5A"/>
    <w:rsid w:val="00754588"/>
    <w:rsid w:val="007545C9"/>
    <w:rsid w:val="00754615"/>
    <w:rsid w:val="00755123"/>
    <w:rsid w:val="00755B85"/>
    <w:rsid w:val="00756056"/>
    <w:rsid w:val="00756064"/>
    <w:rsid w:val="007563F8"/>
    <w:rsid w:val="00756D68"/>
    <w:rsid w:val="0075753B"/>
    <w:rsid w:val="007600CA"/>
    <w:rsid w:val="00760A78"/>
    <w:rsid w:val="00762A1D"/>
    <w:rsid w:val="00763036"/>
    <w:rsid w:val="00764FAD"/>
    <w:rsid w:val="0076595C"/>
    <w:rsid w:val="00767878"/>
    <w:rsid w:val="00767977"/>
    <w:rsid w:val="00767D4F"/>
    <w:rsid w:val="00771045"/>
    <w:rsid w:val="00771592"/>
    <w:rsid w:val="00771939"/>
    <w:rsid w:val="00773F42"/>
    <w:rsid w:val="00774874"/>
    <w:rsid w:val="00774977"/>
    <w:rsid w:val="00775EAE"/>
    <w:rsid w:val="00777F6C"/>
    <w:rsid w:val="00780313"/>
    <w:rsid w:val="00781BEC"/>
    <w:rsid w:val="00782D19"/>
    <w:rsid w:val="00784E63"/>
    <w:rsid w:val="007870D8"/>
    <w:rsid w:val="00790D7E"/>
    <w:rsid w:val="007913AF"/>
    <w:rsid w:val="007920EC"/>
    <w:rsid w:val="0079316C"/>
    <w:rsid w:val="00793A9A"/>
    <w:rsid w:val="007947EA"/>
    <w:rsid w:val="00795216"/>
    <w:rsid w:val="00795A72"/>
    <w:rsid w:val="00796826"/>
    <w:rsid w:val="00796951"/>
    <w:rsid w:val="007A052F"/>
    <w:rsid w:val="007A0D6F"/>
    <w:rsid w:val="007A10CF"/>
    <w:rsid w:val="007A1AF8"/>
    <w:rsid w:val="007A2141"/>
    <w:rsid w:val="007A33AA"/>
    <w:rsid w:val="007A753B"/>
    <w:rsid w:val="007A79D0"/>
    <w:rsid w:val="007B18DE"/>
    <w:rsid w:val="007B2D25"/>
    <w:rsid w:val="007B31E9"/>
    <w:rsid w:val="007B3C93"/>
    <w:rsid w:val="007B5771"/>
    <w:rsid w:val="007B5BB4"/>
    <w:rsid w:val="007B6306"/>
    <w:rsid w:val="007B72A3"/>
    <w:rsid w:val="007C12A3"/>
    <w:rsid w:val="007C1A62"/>
    <w:rsid w:val="007C1AA2"/>
    <w:rsid w:val="007C1C22"/>
    <w:rsid w:val="007C2C3A"/>
    <w:rsid w:val="007C2E59"/>
    <w:rsid w:val="007C3775"/>
    <w:rsid w:val="007C3934"/>
    <w:rsid w:val="007C3F61"/>
    <w:rsid w:val="007C488F"/>
    <w:rsid w:val="007C6CE3"/>
    <w:rsid w:val="007C72C5"/>
    <w:rsid w:val="007C76FD"/>
    <w:rsid w:val="007D14BE"/>
    <w:rsid w:val="007D27AE"/>
    <w:rsid w:val="007D39E6"/>
    <w:rsid w:val="007D4365"/>
    <w:rsid w:val="007D7FAA"/>
    <w:rsid w:val="007E1407"/>
    <w:rsid w:val="007E145F"/>
    <w:rsid w:val="007E2ECE"/>
    <w:rsid w:val="007E350A"/>
    <w:rsid w:val="007E46C3"/>
    <w:rsid w:val="007E7354"/>
    <w:rsid w:val="007E7E51"/>
    <w:rsid w:val="007F0872"/>
    <w:rsid w:val="007F0B01"/>
    <w:rsid w:val="007F0F9D"/>
    <w:rsid w:val="007F1A73"/>
    <w:rsid w:val="007F252A"/>
    <w:rsid w:val="007F2675"/>
    <w:rsid w:val="007F2868"/>
    <w:rsid w:val="007F3B3C"/>
    <w:rsid w:val="007F3E15"/>
    <w:rsid w:val="007F45A4"/>
    <w:rsid w:val="007F4DDF"/>
    <w:rsid w:val="007F53B9"/>
    <w:rsid w:val="007F5601"/>
    <w:rsid w:val="007F5F27"/>
    <w:rsid w:val="007F6B59"/>
    <w:rsid w:val="007F7067"/>
    <w:rsid w:val="007F7254"/>
    <w:rsid w:val="008007B0"/>
    <w:rsid w:val="00801AEA"/>
    <w:rsid w:val="008024D5"/>
    <w:rsid w:val="008036EF"/>
    <w:rsid w:val="008038BE"/>
    <w:rsid w:val="00803B0F"/>
    <w:rsid w:val="00803DC1"/>
    <w:rsid w:val="00804AC7"/>
    <w:rsid w:val="00804BCD"/>
    <w:rsid w:val="008065EC"/>
    <w:rsid w:val="00807162"/>
    <w:rsid w:val="00810FA1"/>
    <w:rsid w:val="00812816"/>
    <w:rsid w:val="0081290F"/>
    <w:rsid w:val="008131C8"/>
    <w:rsid w:val="0081320A"/>
    <w:rsid w:val="00813306"/>
    <w:rsid w:val="00813E14"/>
    <w:rsid w:val="00815891"/>
    <w:rsid w:val="00815BCE"/>
    <w:rsid w:val="00815CEA"/>
    <w:rsid w:val="00815D46"/>
    <w:rsid w:val="00815D62"/>
    <w:rsid w:val="008160CC"/>
    <w:rsid w:val="008162D6"/>
    <w:rsid w:val="008173DA"/>
    <w:rsid w:val="008205C2"/>
    <w:rsid w:val="008205CF"/>
    <w:rsid w:val="0082174A"/>
    <w:rsid w:val="00821B5A"/>
    <w:rsid w:val="00822BBD"/>
    <w:rsid w:val="00822FFC"/>
    <w:rsid w:val="00823368"/>
    <w:rsid w:val="00823EC6"/>
    <w:rsid w:val="0082482D"/>
    <w:rsid w:val="0082525A"/>
    <w:rsid w:val="008255A3"/>
    <w:rsid w:val="00825CF0"/>
    <w:rsid w:val="0082632D"/>
    <w:rsid w:val="008279D3"/>
    <w:rsid w:val="00827A36"/>
    <w:rsid w:val="00830196"/>
    <w:rsid w:val="00831C00"/>
    <w:rsid w:val="00832CF9"/>
    <w:rsid w:val="008342FB"/>
    <w:rsid w:val="008347EE"/>
    <w:rsid w:val="008355B7"/>
    <w:rsid w:val="00835AE5"/>
    <w:rsid w:val="0083622B"/>
    <w:rsid w:val="0083625B"/>
    <w:rsid w:val="0083632D"/>
    <w:rsid w:val="008369A1"/>
    <w:rsid w:val="0083768A"/>
    <w:rsid w:val="00837C3B"/>
    <w:rsid w:val="00840275"/>
    <w:rsid w:val="00841AE4"/>
    <w:rsid w:val="0084225F"/>
    <w:rsid w:val="00842F73"/>
    <w:rsid w:val="00844338"/>
    <w:rsid w:val="00845AB3"/>
    <w:rsid w:val="008460A2"/>
    <w:rsid w:val="00846366"/>
    <w:rsid w:val="00846535"/>
    <w:rsid w:val="00846A5F"/>
    <w:rsid w:val="008472EF"/>
    <w:rsid w:val="0084756F"/>
    <w:rsid w:val="00847871"/>
    <w:rsid w:val="00847F6C"/>
    <w:rsid w:val="00851E62"/>
    <w:rsid w:val="00851ED6"/>
    <w:rsid w:val="008524E3"/>
    <w:rsid w:val="00852DEB"/>
    <w:rsid w:val="00854F79"/>
    <w:rsid w:val="008553C0"/>
    <w:rsid w:val="00857632"/>
    <w:rsid w:val="008577D4"/>
    <w:rsid w:val="00857C02"/>
    <w:rsid w:val="00857DA0"/>
    <w:rsid w:val="008604ED"/>
    <w:rsid w:val="008609D1"/>
    <w:rsid w:val="00861018"/>
    <w:rsid w:val="008616D7"/>
    <w:rsid w:val="00862192"/>
    <w:rsid w:val="0086272C"/>
    <w:rsid w:val="00864E62"/>
    <w:rsid w:val="00865F41"/>
    <w:rsid w:val="00870AF2"/>
    <w:rsid w:val="00870AF9"/>
    <w:rsid w:val="00871638"/>
    <w:rsid w:val="00871708"/>
    <w:rsid w:val="00873CE7"/>
    <w:rsid w:val="00875B1C"/>
    <w:rsid w:val="00875ECA"/>
    <w:rsid w:val="00877021"/>
    <w:rsid w:val="00877D68"/>
    <w:rsid w:val="00880147"/>
    <w:rsid w:val="00880516"/>
    <w:rsid w:val="0088134D"/>
    <w:rsid w:val="0088316A"/>
    <w:rsid w:val="008833DE"/>
    <w:rsid w:val="00883A70"/>
    <w:rsid w:val="00884064"/>
    <w:rsid w:val="0088453E"/>
    <w:rsid w:val="0088498C"/>
    <w:rsid w:val="008849C2"/>
    <w:rsid w:val="00885F4F"/>
    <w:rsid w:val="00890AAA"/>
    <w:rsid w:val="008924EA"/>
    <w:rsid w:val="008926BB"/>
    <w:rsid w:val="00892899"/>
    <w:rsid w:val="008955E4"/>
    <w:rsid w:val="0089574A"/>
    <w:rsid w:val="008958E0"/>
    <w:rsid w:val="00895CD8"/>
    <w:rsid w:val="008963DC"/>
    <w:rsid w:val="008967C1"/>
    <w:rsid w:val="00897676"/>
    <w:rsid w:val="008A13CA"/>
    <w:rsid w:val="008A3C55"/>
    <w:rsid w:val="008A4B38"/>
    <w:rsid w:val="008A567E"/>
    <w:rsid w:val="008A5926"/>
    <w:rsid w:val="008A6471"/>
    <w:rsid w:val="008A68C3"/>
    <w:rsid w:val="008A6956"/>
    <w:rsid w:val="008A6D69"/>
    <w:rsid w:val="008A788A"/>
    <w:rsid w:val="008B199F"/>
    <w:rsid w:val="008B1A2F"/>
    <w:rsid w:val="008B2ABA"/>
    <w:rsid w:val="008B32C4"/>
    <w:rsid w:val="008B35A7"/>
    <w:rsid w:val="008B3C2B"/>
    <w:rsid w:val="008B4149"/>
    <w:rsid w:val="008B538D"/>
    <w:rsid w:val="008B646C"/>
    <w:rsid w:val="008B7177"/>
    <w:rsid w:val="008B76BF"/>
    <w:rsid w:val="008B7FEA"/>
    <w:rsid w:val="008C055C"/>
    <w:rsid w:val="008C0590"/>
    <w:rsid w:val="008C28E6"/>
    <w:rsid w:val="008C2F13"/>
    <w:rsid w:val="008C335B"/>
    <w:rsid w:val="008C3440"/>
    <w:rsid w:val="008C4D62"/>
    <w:rsid w:val="008C54E0"/>
    <w:rsid w:val="008C69A3"/>
    <w:rsid w:val="008D1C3D"/>
    <w:rsid w:val="008D3515"/>
    <w:rsid w:val="008D625D"/>
    <w:rsid w:val="008D6383"/>
    <w:rsid w:val="008D63D6"/>
    <w:rsid w:val="008D6512"/>
    <w:rsid w:val="008D745C"/>
    <w:rsid w:val="008D76EC"/>
    <w:rsid w:val="008E009F"/>
    <w:rsid w:val="008E0611"/>
    <w:rsid w:val="008E07AF"/>
    <w:rsid w:val="008E136A"/>
    <w:rsid w:val="008E253F"/>
    <w:rsid w:val="008E3755"/>
    <w:rsid w:val="008E3E42"/>
    <w:rsid w:val="008E43D4"/>
    <w:rsid w:val="008E4821"/>
    <w:rsid w:val="008E56F3"/>
    <w:rsid w:val="008E65E3"/>
    <w:rsid w:val="008E6DFD"/>
    <w:rsid w:val="008E7270"/>
    <w:rsid w:val="008E760D"/>
    <w:rsid w:val="008F0D8D"/>
    <w:rsid w:val="008F1146"/>
    <w:rsid w:val="008F1CE2"/>
    <w:rsid w:val="008F2E66"/>
    <w:rsid w:val="008F439C"/>
    <w:rsid w:val="008F43D4"/>
    <w:rsid w:val="008F4F42"/>
    <w:rsid w:val="008F530A"/>
    <w:rsid w:val="008F5951"/>
    <w:rsid w:val="008F6566"/>
    <w:rsid w:val="00900287"/>
    <w:rsid w:val="009005C4"/>
    <w:rsid w:val="00900836"/>
    <w:rsid w:val="00900DBF"/>
    <w:rsid w:val="00900F36"/>
    <w:rsid w:val="009019CA"/>
    <w:rsid w:val="00902DC4"/>
    <w:rsid w:val="00903C18"/>
    <w:rsid w:val="009040F0"/>
    <w:rsid w:val="00905203"/>
    <w:rsid w:val="009060B7"/>
    <w:rsid w:val="00906514"/>
    <w:rsid w:val="00906B23"/>
    <w:rsid w:val="0090753B"/>
    <w:rsid w:val="0091024F"/>
    <w:rsid w:val="00910826"/>
    <w:rsid w:val="009108CA"/>
    <w:rsid w:val="00910A5D"/>
    <w:rsid w:val="00910C17"/>
    <w:rsid w:val="00911033"/>
    <w:rsid w:val="00911BC5"/>
    <w:rsid w:val="00912529"/>
    <w:rsid w:val="00912C6D"/>
    <w:rsid w:val="009138D4"/>
    <w:rsid w:val="009163F1"/>
    <w:rsid w:val="00916430"/>
    <w:rsid w:val="00917B2A"/>
    <w:rsid w:val="009222DC"/>
    <w:rsid w:val="00922F30"/>
    <w:rsid w:val="009235E3"/>
    <w:rsid w:val="00923D29"/>
    <w:rsid w:val="00924FFE"/>
    <w:rsid w:val="00925D11"/>
    <w:rsid w:val="00926FF9"/>
    <w:rsid w:val="009273C2"/>
    <w:rsid w:val="00927B6D"/>
    <w:rsid w:val="00927FD1"/>
    <w:rsid w:val="0093002B"/>
    <w:rsid w:val="00930092"/>
    <w:rsid w:val="0093030E"/>
    <w:rsid w:val="009311D9"/>
    <w:rsid w:val="00934D9A"/>
    <w:rsid w:val="00936233"/>
    <w:rsid w:val="00936C39"/>
    <w:rsid w:val="009370A2"/>
    <w:rsid w:val="0094023F"/>
    <w:rsid w:val="00940B96"/>
    <w:rsid w:val="00940EB6"/>
    <w:rsid w:val="009419D6"/>
    <w:rsid w:val="00941CDC"/>
    <w:rsid w:val="00941F15"/>
    <w:rsid w:val="009432E1"/>
    <w:rsid w:val="0094431B"/>
    <w:rsid w:val="0094444F"/>
    <w:rsid w:val="00946510"/>
    <w:rsid w:val="009467DE"/>
    <w:rsid w:val="009468D1"/>
    <w:rsid w:val="00947BD7"/>
    <w:rsid w:val="00947D8A"/>
    <w:rsid w:val="00947E6B"/>
    <w:rsid w:val="009502F5"/>
    <w:rsid w:val="009506E8"/>
    <w:rsid w:val="00950ACA"/>
    <w:rsid w:val="00950AF6"/>
    <w:rsid w:val="009518C4"/>
    <w:rsid w:val="009528C6"/>
    <w:rsid w:val="0095299C"/>
    <w:rsid w:val="00952B6F"/>
    <w:rsid w:val="009534F2"/>
    <w:rsid w:val="0095381E"/>
    <w:rsid w:val="00953943"/>
    <w:rsid w:val="00954E9B"/>
    <w:rsid w:val="009564A1"/>
    <w:rsid w:val="009566A5"/>
    <w:rsid w:val="00956D09"/>
    <w:rsid w:val="009602B9"/>
    <w:rsid w:val="00960B47"/>
    <w:rsid w:val="0096169C"/>
    <w:rsid w:val="00961DCB"/>
    <w:rsid w:val="009627F5"/>
    <w:rsid w:val="00962C1D"/>
    <w:rsid w:val="00963186"/>
    <w:rsid w:val="00963480"/>
    <w:rsid w:val="00963C21"/>
    <w:rsid w:val="00964028"/>
    <w:rsid w:val="009645ED"/>
    <w:rsid w:val="00965CE2"/>
    <w:rsid w:val="00967017"/>
    <w:rsid w:val="00967028"/>
    <w:rsid w:val="009670A2"/>
    <w:rsid w:val="00967C36"/>
    <w:rsid w:val="00967CCD"/>
    <w:rsid w:val="00972203"/>
    <w:rsid w:val="009745DF"/>
    <w:rsid w:val="00975058"/>
    <w:rsid w:val="00976F55"/>
    <w:rsid w:val="0097716A"/>
    <w:rsid w:val="00980771"/>
    <w:rsid w:val="00980B76"/>
    <w:rsid w:val="00982B9C"/>
    <w:rsid w:val="00983F96"/>
    <w:rsid w:val="009851A4"/>
    <w:rsid w:val="0098568B"/>
    <w:rsid w:val="00987DD6"/>
    <w:rsid w:val="0099296D"/>
    <w:rsid w:val="009933CD"/>
    <w:rsid w:val="00993438"/>
    <w:rsid w:val="009938AB"/>
    <w:rsid w:val="0099578E"/>
    <w:rsid w:val="009958BB"/>
    <w:rsid w:val="009970A9"/>
    <w:rsid w:val="009973B7"/>
    <w:rsid w:val="00997753"/>
    <w:rsid w:val="0099775A"/>
    <w:rsid w:val="009A0678"/>
    <w:rsid w:val="009A0A24"/>
    <w:rsid w:val="009A0E8F"/>
    <w:rsid w:val="009A1141"/>
    <w:rsid w:val="009A239F"/>
    <w:rsid w:val="009A278F"/>
    <w:rsid w:val="009A3465"/>
    <w:rsid w:val="009A5798"/>
    <w:rsid w:val="009A5A51"/>
    <w:rsid w:val="009A5D2E"/>
    <w:rsid w:val="009A6525"/>
    <w:rsid w:val="009A6698"/>
    <w:rsid w:val="009A66F2"/>
    <w:rsid w:val="009A690B"/>
    <w:rsid w:val="009A6B86"/>
    <w:rsid w:val="009A76C5"/>
    <w:rsid w:val="009B1500"/>
    <w:rsid w:val="009B26DA"/>
    <w:rsid w:val="009B2722"/>
    <w:rsid w:val="009B3B61"/>
    <w:rsid w:val="009B4694"/>
    <w:rsid w:val="009B470C"/>
    <w:rsid w:val="009B5025"/>
    <w:rsid w:val="009B522A"/>
    <w:rsid w:val="009B5ABA"/>
    <w:rsid w:val="009B61E5"/>
    <w:rsid w:val="009B71F2"/>
    <w:rsid w:val="009C08BB"/>
    <w:rsid w:val="009C09B9"/>
    <w:rsid w:val="009C0B50"/>
    <w:rsid w:val="009C1052"/>
    <w:rsid w:val="009C1877"/>
    <w:rsid w:val="009C3601"/>
    <w:rsid w:val="009C3C2D"/>
    <w:rsid w:val="009C4240"/>
    <w:rsid w:val="009C4BB3"/>
    <w:rsid w:val="009C4D7A"/>
    <w:rsid w:val="009C5E7D"/>
    <w:rsid w:val="009C7C4B"/>
    <w:rsid w:val="009D29BD"/>
    <w:rsid w:val="009D2E15"/>
    <w:rsid w:val="009D3619"/>
    <w:rsid w:val="009D59E3"/>
    <w:rsid w:val="009D6305"/>
    <w:rsid w:val="009D69FA"/>
    <w:rsid w:val="009D6E47"/>
    <w:rsid w:val="009E069A"/>
    <w:rsid w:val="009E0DAA"/>
    <w:rsid w:val="009E1145"/>
    <w:rsid w:val="009E1187"/>
    <w:rsid w:val="009E1E02"/>
    <w:rsid w:val="009E28EF"/>
    <w:rsid w:val="009E3080"/>
    <w:rsid w:val="009E4DA0"/>
    <w:rsid w:val="009E541B"/>
    <w:rsid w:val="009F0751"/>
    <w:rsid w:val="009F0FBE"/>
    <w:rsid w:val="009F2775"/>
    <w:rsid w:val="009F2B53"/>
    <w:rsid w:val="009F2E75"/>
    <w:rsid w:val="009F46F5"/>
    <w:rsid w:val="009F51B9"/>
    <w:rsid w:val="009F77B4"/>
    <w:rsid w:val="00A00B20"/>
    <w:rsid w:val="00A01FA9"/>
    <w:rsid w:val="00A025F4"/>
    <w:rsid w:val="00A02CB6"/>
    <w:rsid w:val="00A02EF2"/>
    <w:rsid w:val="00A034CE"/>
    <w:rsid w:val="00A03F54"/>
    <w:rsid w:val="00A042B1"/>
    <w:rsid w:val="00A05E46"/>
    <w:rsid w:val="00A06AE2"/>
    <w:rsid w:val="00A13C8C"/>
    <w:rsid w:val="00A14029"/>
    <w:rsid w:val="00A1502A"/>
    <w:rsid w:val="00A170F0"/>
    <w:rsid w:val="00A17CF1"/>
    <w:rsid w:val="00A17CF7"/>
    <w:rsid w:val="00A21B69"/>
    <w:rsid w:val="00A2295D"/>
    <w:rsid w:val="00A22A67"/>
    <w:rsid w:val="00A22C4F"/>
    <w:rsid w:val="00A24925"/>
    <w:rsid w:val="00A25402"/>
    <w:rsid w:val="00A25AD2"/>
    <w:rsid w:val="00A2749F"/>
    <w:rsid w:val="00A274C1"/>
    <w:rsid w:val="00A275A9"/>
    <w:rsid w:val="00A30431"/>
    <w:rsid w:val="00A33A2D"/>
    <w:rsid w:val="00A35755"/>
    <w:rsid w:val="00A35BD1"/>
    <w:rsid w:val="00A36A7A"/>
    <w:rsid w:val="00A36DC1"/>
    <w:rsid w:val="00A36F90"/>
    <w:rsid w:val="00A40036"/>
    <w:rsid w:val="00A406DA"/>
    <w:rsid w:val="00A40C63"/>
    <w:rsid w:val="00A4157C"/>
    <w:rsid w:val="00A41CCB"/>
    <w:rsid w:val="00A41E3E"/>
    <w:rsid w:val="00A432E9"/>
    <w:rsid w:val="00A4360E"/>
    <w:rsid w:val="00A45649"/>
    <w:rsid w:val="00A47A39"/>
    <w:rsid w:val="00A47A43"/>
    <w:rsid w:val="00A47B34"/>
    <w:rsid w:val="00A47DB4"/>
    <w:rsid w:val="00A502C8"/>
    <w:rsid w:val="00A5152B"/>
    <w:rsid w:val="00A51ABB"/>
    <w:rsid w:val="00A5225F"/>
    <w:rsid w:val="00A52BED"/>
    <w:rsid w:val="00A5364D"/>
    <w:rsid w:val="00A53D99"/>
    <w:rsid w:val="00A543A5"/>
    <w:rsid w:val="00A54ED0"/>
    <w:rsid w:val="00A56513"/>
    <w:rsid w:val="00A56555"/>
    <w:rsid w:val="00A56957"/>
    <w:rsid w:val="00A569D5"/>
    <w:rsid w:val="00A57738"/>
    <w:rsid w:val="00A602A1"/>
    <w:rsid w:val="00A605FB"/>
    <w:rsid w:val="00A6063C"/>
    <w:rsid w:val="00A610B2"/>
    <w:rsid w:val="00A61C0D"/>
    <w:rsid w:val="00A64328"/>
    <w:rsid w:val="00A649D0"/>
    <w:rsid w:val="00A654C1"/>
    <w:rsid w:val="00A65F5E"/>
    <w:rsid w:val="00A65F7C"/>
    <w:rsid w:val="00A66587"/>
    <w:rsid w:val="00A67CD7"/>
    <w:rsid w:val="00A70558"/>
    <w:rsid w:val="00A70629"/>
    <w:rsid w:val="00A70757"/>
    <w:rsid w:val="00A755DB"/>
    <w:rsid w:val="00A757F1"/>
    <w:rsid w:val="00A76050"/>
    <w:rsid w:val="00A76301"/>
    <w:rsid w:val="00A76E1D"/>
    <w:rsid w:val="00A82355"/>
    <w:rsid w:val="00A827AA"/>
    <w:rsid w:val="00A827E3"/>
    <w:rsid w:val="00A85361"/>
    <w:rsid w:val="00A904F6"/>
    <w:rsid w:val="00A92103"/>
    <w:rsid w:val="00A92EE2"/>
    <w:rsid w:val="00A939EC"/>
    <w:rsid w:val="00A94379"/>
    <w:rsid w:val="00A94408"/>
    <w:rsid w:val="00A96165"/>
    <w:rsid w:val="00A96BC4"/>
    <w:rsid w:val="00A96D86"/>
    <w:rsid w:val="00A9709C"/>
    <w:rsid w:val="00AA0175"/>
    <w:rsid w:val="00AA0D42"/>
    <w:rsid w:val="00AA2496"/>
    <w:rsid w:val="00AA2F4E"/>
    <w:rsid w:val="00AA30FC"/>
    <w:rsid w:val="00AA3A13"/>
    <w:rsid w:val="00AA42EC"/>
    <w:rsid w:val="00AA43C9"/>
    <w:rsid w:val="00AA465D"/>
    <w:rsid w:val="00AA490D"/>
    <w:rsid w:val="00AA5A47"/>
    <w:rsid w:val="00AA5EBC"/>
    <w:rsid w:val="00AA5EC9"/>
    <w:rsid w:val="00AA63B3"/>
    <w:rsid w:val="00AA6D03"/>
    <w:rsid w:val="00AA7BD9"/>
    <w:rsid w:val="00AB0CD3"/>
    <w:rsid w:val="00AB0FF1"/>
    <w:rsid w:val="00AB1394"/>
    <w:rsid w:val="00AB190A"/>
    <w:rsid w:val="00AB1C35"/>
    <w:rsid w:val="00AB2464"/>
    <w:rsid w:val="00AB3611"/>
    <w:rsid w:val="00AB3BDD"/>
    <w:rsid w:val="00AB46C4"/>
    <w:rsid w:val="00AB47C7"/>
    <w:rsid w:val="00AB5F66"/>
    <w:rsid w:val="00AB6B6D"/>
    <w:rsid w:val="00AB6C78"/>
    <w:rsid w:val="00AB760C"/>
    <w:rsid w:val="00AB77EC"/>
    <w:rsid w:val="00AC2055"/>
    <w:rsid w:val="00AC2895"/>
    <w:rsid w:val="00AC28A5"/>
    <w:rsid w:val="00AC342D"/>
    <w:rsid w:val="00AC34D7"/>
    <w:rsid w:val="00AC3870"/>
    <w:rsid w:val="00AC4516"/>
    <w:rsid w:val="00AC45D4"/>
    <w:rsid w:val="00AC49BE"/>
    <w:rsid w:val="00AC5B05"/>
    <w:rsid w:val="00AC5E3E"/>
    <w:rsid w:val="00AC68BB"/>
    <w:rsid w:val="00AC6930"/>
    <w:rsid w:val="00AC750E"/>
    <w:rsid w:val="00AD189E"/>
    <w:rsid w:val="00AD18E2"/>
    <w:rsid w:val="00AD1AF9"/>
    <w:rsid w:val="00AD223D"/>
    <w:rsid w:val="00AD2C12"/>
    <w:rsid w:val="00AD2D2F"/>
    <w:rsid w:val="00AD366D"/>
    <w:rsid w:val="00AD539D"/>
    <w:rsid w:val="00AD6305"/>
    <w:rsid w:val="00AD6567"/>
    <w:rsid w:val="00AD71D3"/>
    <w:rsid w:val="00AD79DA"/>
    <w:rsid w:val="00AE016D"/>
    <w:rsid w:val="00AE02B8"/>
    <w:rsid w:val="00AE0F02"/>
    <w:rsid w:val="00AE1B9A"/>
    <w:rsid w:val="00AE311E"/>
    <w:rsid w:val="00AE3257"/>
    <w:rsid w:val="00AE4D36"/>
    <w:rsid w:val="00AE59C1"/>
    <w:rsid w:val="00AE59CE"/>
    <w:rsid w:val="00AE751F"/>
    <w:rsid w:val="00AE75D8"/>
    <w:rsid w:val="00AF19B6"/>
    <w:rsid w:val="00AF22AA"/>
    <w:rsid w:val="00AF2530"/>
    <w:rsid w:val="00AF4066"/>
    <w:rsid w:val="00AF4121"/>
    <w:rsid w:val="00AF4DDD"/>
    <w:rsid w:val="00AF56E3"/>
    <w:rsid w:val="00AF5A89"/>
    <w:rsid w:val="00AF65F3"/>
    <w:rsid w:val="00AF6F77"/>
    <w:rsid w:val="00AF719F"/>
    <w:rsid w:val="00B00478"/>
    <w:rsid w:val="00B015D9"/>
    <w:rsid w:val="00B02399"/>
    <w:rsid w:val="00B03C72"/>
    <w:rsid w:val="00B03CB9"/>
    <w:rsid w:val="00B04B22"/>
    <w:rsid w:val="00B052D9"/>
    <w:rsid w:val="00B055AA"/>
    <w:rsid w:val="00B05719"/>
    <w:rsid w:val="00B05EBC"/>
    <w:rsid w:val="00B066F0"/>
    <w:rsid w:val="00B10667"/>
    <w:rsid w:val="00B10EBF"/>
    <w:rsid w:val="00B112A6"/>
    <w:rsid w:val="00B12744"/>
    <w:rsid w:val="00B133B7"/>
    <w:rsid w:val="00B14597"/>
    <w:rsid w:val="00B15488"/>
    <w:rsid w:val="00B15D77"/>
    <w:rsid w:val="00B17791"/>
    <w:rsid w:val="00B179E1"/>
    <w:rsid w:val="00B17CFE"/>
    <w:rsid w:val="00B20189"/>
    <w:rsid w:val="00B2090E"/>
    <w:rsid w:val="00B22C2C"/>
    <w:rsid w:val="00B22D21"/>
    <w:rsid w:val="00B22F7B"/>
    <w:rsid w:val="00B23674"/>
    <w:rsid w:val="00B237D3"/>
    <w:rsid w:val="00B23F56"/>
    <w:rsid w:val="00B2408E"/>
    <w:rsid w:val="00B24795"/>
    <w:rsid w:val="00B2643A"/>
    <w:rsid w:val="00B2675D"/>
    <w:rsid w:val="00B30383"/>
    <w:rsid w:val="00B3121E"/>
    <w:rsid w:val="00B31C06"/>
    <w:rsid w:val="00B32214"/>
    <w:rsid w:val="00B32221"/>
    <w:rsid w:val="00B32DC2"/>
    <w:rsid w:val="00B3600B"/>
    <w:rsid w:val="00B36250"/>
    <w:rsid w:val="00B36F1E"/>
    <w:rsid w:val="00B37A5A"/>
    <w:rsid w:val="00B4051D"/>
    <w:rsid w:val="00B40E56"/>
    <w:rsid w:val="00B41216"/>
    <w:rsid w:val="00B4122D"/>
    <w:rsid w:val="00B41293"/>
    <w:rsid w:val="00B4170C"/>
    <w:rsid w:val="00B421D4"/>
    <w:rsid w:val="00B4224A"/>
    <w:rsid w:val="00B43AFD"/>
    <w:rsid w:val="00B43D9A"/>
    <w:rsid w:val="00B43DC4"/>
    <w:rsid w:val="00B44495"/>
    <w:rsid w:val="00B44BE4"/>
    <w:rsid w:val="00B45D05"/>
    <w:rsid w:val="00B45FD4"/>
    <w:rsid w:val="00B46310"/>
    <w:rsid w:val="00B4635B"/>
    <w:rsid w:val="00B463A5"/>
    <w:rsid w:val="00B47300"/>
    <w:rsid w:val="00B501DF"/>
    <w:rsid w:val="00B514BC"/>
    <w:rsid w:val="00B53058"/>
    <w:rsid w:val="00B533CA"/>
    <w:rsid w:val="00B5341F"/>
    <w:rsid w:val="00B5532A"/>
    <w:rsid w:val="00B56A20"/>
    <w:rsid w:val="00B57572"/>
    <w:rsid w:val="00B601D4"/>
    <w:rsid w:val="00B602DF"/>
    <w:rsid w:val="00B61643"/>
    <w:rsid w:val="00B61C03"/>
    <w:rsid w:val="00B62A6D"/>
    <w:rsid w:val="00B63F04"/>
    <w:rsid w:val="00B64E8D"/>
    <w:rsid w:val="00B65050"/>
    <w:rsid w:val="00B65312"/>
    <w:rsid w:val="00B654A7"/>
    <w:rsid w:val="00B65750"/>
    <w:rsid w:val="00B6633D"/>
    <w:rsid w:val="00B67670"/>
    <w:rsid w:val="00B6771E"/>
    <w:rsid w:val="00B679B8"/>
    <w:rsid w:val="00B67BD3"/>
    <w:rsid w:val="00B70BBF"/>
    <w:rsid w:val="00B726B3"/>
    <w:rsid w:val="00B7275B"/>
    <w:rsid w:val="00B73D91"/>
    <w:rsid w:val="00B74396"/>
    <w:rsid w:val="00B7465E"/>
    <w:rsid w:val="00B75EA4"/>
    <w:rsid w:val="00B760DE"/>
    <w:rsid w:val="00B76AFE"/>
    <w:rsid w:val="00B800A2"/>
    <w:rsid w:val="00B810B2"/>
    <w:rsid w:val="00B81803"/>
    <w:rsid w:val="00B82D87"/>
    <w:rsid w:val="00B830B9"/>
    <w:rsid w:val="00B83E2A"/>
    <w:rsid w:val="00B83EBC"/>
    <w:rsid w:val="00B84761"/>
    <w:rsid w:val="00B847B3"/>
    <w:rsid w:val="00B85057"/>
    <w:rsid w:val="00B854A8"/>
    <w:rsid w:val="00B85850"/>
    <w:rsid w:val="00B860A5"/>
    <w:rsid w:val="00B90CFA"/>
    <w:rsid w:val="00B912FF"/>
    <w:rsid w:val="00B91461"/>
    <w:rsid w:val="00B91478"/>
    <w:rsid w:val="00B93B08"/>
    <w:rsid w:val="00B954C1"/>
    <w:rsid w:val="00B961B1"/>
    <w:rsid w:val="00B9695C"/>
    <w:rsid w:val="00BA04A1"/>
    <w:rsid w:val="00BA0832"/>
    <w:rsid w:val="00BA1ADD"/>
    <w:rsid w:val="00BA28DE"/>
    <w:rsid w:val="00BA3B28"/>
    <w:rsid w:val="00BA3D5F"/>
    <w:rsid w:val="00BA41FC"/>
    <w:rsid w:val="00BA5F81"/>
    <w:rsid w:val="00BA63D4"/>
    <w:rsid w:val="00BA6BC6"/>
    <w:rsid w:val="00BB00C7"/>
    <w:rsid w:val="00BB2169"/>
    <w:rsid w:val="00BB52D7"/>
    <w:rsid w:val="00BB56E3"/>
    <w:rsid w:val="00BB59C2"/>
    <w:rsid w:val="00BB6141"/>
    <w:rsid w:val="00BC0720"/>
    <w:rsid w:val="00BC09BA"/>
    <w:rsid w:val="00BC0A64"/>
    <w:rsid w:val="00BC0F49"/>
    <w:rsid w:val="00BC193C"/>
    <w:rsid w:val="00BC1CDC"/>
    <w:rsid w:val="00BC30B9"/>
    <w:rsid w:val="00BC3E90"/>
    <w:rsid w:val="00BC41AD"/>
    <w:rsid w:val="00BC4487"/>
    <w:rsid w:val="00BC57A2"/>
    <w:rsid w:val="00BD004C"/>
    <w:rsid w:val="00BD1E7F"/>
    <w:rsid w:val="00BD2092"/>
    <w:rsid w:val="00BD254D"/>
    <w:rsid w:val="00BD2A54"/>
    <w:rsid w:val="00BD2DF9"/>
    <w:rsid w:val="00BD3173"/>
    <w:rsid w:val="00BD63FC"/>
    <w:rsid w:val="00BD66B6"/>
    <w:rsid w:val="00BD7377"/>
    <w:rsid w:val="00BD79DD"/>
    <w:rsid w:val="00BD7BE0"/>
    <w:rsid w:val="00BE024E"/>
    <w:rsid w:val="00BE0283"/>
    <w:rsid w:val="00BE06D2"/>
    <w:rsid w:val="00BE08C3"/>
    <w:rsid w:val="00BE08FA"/>
    <w:rsid w:val="00BE0EF6"/>
    <w:rsid w:val="00BE12A5"/>
    <w:rsid w:val="00BE208D"/>
    <w:rsid w:val="00BE21F4"/>
    <w:rsid w:val="00BE4DBC"/>
    <w:rsid w:val="00BE561E"/>
    <w:rsid w:val="00BE5B1A"/>
    <w:rsid w:val="00BE67F0"/>
    <w:rsid w:val="00BE7F13"/>
    <w:rsid w:val="00BF040A"/>
    <w:rsid w:val="00BF07D2"/>
    <w:rsid w:val="00BF480B"/>
    <w:rsid w:val="00BF4F72"/>
    <w:rsid w:val="00BF682A"/>
    <w:rsid w:val="00BF7B73"/>
    <w:rsid w:val="00C00FB7"/>
    <w:rsid w:val="00C0141C"/>
    <w:rsid w:val="00C01D71"/>
    <w:rsid w:val="00C0204F"/>
    <w:rsid w:val="00C0205D"/>
    <w:rsid w:val="00C03545"/>
    <w:rsid w:val="00C0374F"/>
    <w:rsid w:val="00C03C7D"/>
    <w:rsid w:val="00C04966"/>
    <w:rsid w:val="00C04E6B"/>
    <w:rsid w:val="00C04E80"/>
    <w:rsid w:val="00C062CF"/>
    <w:rsid w:val="00C0646C"/>
    <w:rsid w:val="00C07856"/>
    <w:rsid w:val="00C07F73"/>
    <w:rsid w:val="00C11901"/>
    <w:rsid w:val="00C1422C"/>
    <w:rsid w:val="00C17874"/>
    <w:rsid w:val="00C17F45"/>
    <w:rsid w:val="00C20059"/>
    <w:rsid w:val="00C20F2F"/>
    <w:rsid w:val="00C2157A"/>
    <w:rsid w:val="00C217F9"/>
    <w:rsid w:val="00C21EC9"/>
    <w:rsid w:val="00C22DF2"/>
    <w:rsid w:val="00C22F6B"/>
    <w:rsid w:val="00C244CD"/>
    <w:rsid w:val="00C257AA"/>
    <w:rsid w:val="00C25D94"/>
    <w:rsid w:val="00C263A7"/>
    <w:rsid w:val="00C2655E"/>
    <w:rsid w:val="00C270B4"/>
    <w:rsid w:val="00C30A13"/>
    <w:rsid w:val="00C319DD"/>
    <w:rsid w:val="00C3227C"/>
    <w:rsid w:val="00C32766"/>
    <w:rsid w:val="00C330CC"/>
    <w:rsid w:val="00C331D5"/>
    <w:rsid w:val="00C34078"/>
    <w:rsid w:val="00C34E78"/>
    <w:rsid w:val="00C35285"/>
    <w:rsid w:val="00C35B6C"/>
    <w:rsid w:val="00C408EC"/>
    <w:rsid w:val="00C40B53"/>
    <w:rsid w:val="00C40FB2"/>
    <w:rsid w:val="00C439AC"/>
    <w:rsid w:val="00C44163"/>
    <w:rsid w:val="00C441A5"/>
    <w:rsid w:val="00C4515F"/>
    <w:rsid w:val="00C455B3"/>
    <w:rsid w:val="00C459D4"/>
    <w:rsid w:val="00C45F85"/>
    <w:rsid w:val="00C46CDF"/>
    <w:rsid w:val="00C47186"/>
    <w:rsid w:val="00C529CF"/>
    <w:rsid w:val="00C52CA6"/>
    <w:rsid w:val="00C53FF3"/>
    <w:rsid w:val="00C5414B"/>
    <w:rsid w:val="00C55433"/>
    <w:rsid w:val="00C55C4A"/>
    <w:rsid w:val="00C608C8"/>
    <w:rsid w:val="00C623C3"/>
    <w:rsid w:val="00C62621"/>
    <w:rsid w:val="00C647BD"/>
    <w:rsid w:val="00C65936"/>
    <w:rsid w:val="00C668A5"/>
    <w:rsid w:val="00C70911"/>
    <w:rsid w:val="00C70F6F"/>
    <w:rsid w:val="00C71836"/>
    <w:rsid w:val="00C726DE"/>
    <w:rsid w:val="00C74D75"/>
    <w:rsid w:val="00C75E3F"/>
    <w:rsid w:val="00C76A72"/>
    <w:rsid w:val="00C77FC3"/>
    <w:rsid w:val="00C811A7"/>
    <w:rsid w:val="00C823BB"/>
    <w:rsid w:val="00C8333B"/>
    <w:rsid w:val="00C84CF6"/>
    <w:rsid w:val="00C8579D"/>
    <w:rsid w:val="00C862D4"/>
    <w:rsid w:val="00C86DD5"/>
    <w:rsid w:val="00C87CCA"/>
    <w:rsid w:val="00C9112E"/>
    <w:rsid w:val="00C91444"/>
    <w:rsid w:val="00C91851"/>
    <w:rsid w:val="00C91B53"/>
    <w:rsid w:val="00C92501"/>
    <w:rsid w:val="00C92669"/>
    <w:rsid w:val="00C926F3"/>
    <w:rsid w:val="00C92B1E"/>
    <w:rsid w:val="00C92BE6"/>
    <w:rsid w:val="00C92EF3"/>
    <w:rsid w:val="00C94E97"/>
    <w:rsid w:val="00C9654B"/>
    <w:rsid w:val="00C97A50"/>
    <w:rsid w:val="00CA2D24"/>
    <w:rsid w:val="00CA360F"/>
    <w:rsid w:val="00CA3AFD"/>
    <w:rsid w:val="00CA42C1"/>
    <w:rsid w:val="00CA4B92"/>
    <w:rsid w:val="00CA4FE6"/>
    <w:rsid w:val="00CA714F"/>
    <w:rsid w:val="00CA76C2"/>
    <w:rsid w:val="00CB095E"/>
    <w:rsid w:val="00CB21E8"/>
    <w:rsid w:val="00CB2ACA"/>
    <w:rsid w:val="00CB3349"/>
    <w:rsid w:val="00CB352A"/>
    <w:rsid w:val="00CB35CF"/>
    <w:rsid w:val="00CB3DAA"/>
    <w:rsid w:val="00CB3FB6"/>
    <w:rsid w:val="00CB556A"/>
    <w:rsid w:val="00CB633D"/>
    <w:rsid w:val="00CB67A0"/>
    <w:rsid w:val="00CB6FFE"/>
    <w:rsid w:val="00CB74C0"/>
    <w:rsid w:val="00CC07A8"/>
    <w:rsid w:val="00CC1B43"/>
    <w:rsid w:val="00CC1DD6"/>
    <w:rsid w:val="00CC23A4"/>
    <w:rsid w:val="00CC368B"/>
    <w:rsid w:val="00CC3816"/>
    <w:rsid w:val="00CC3A75"/>
    <w:rsid w:val="00CC5A97"/>
    <w:rsid w:val="00CC5E99"/>
    <w:rsid w:val="00CC65B0"/>
    <w:rsid w:val="00CC699B"/>
    <w:rsid w:val="00CC7C40"/>
    <w:rsid w:val="00CD09A0"/>
    <w:rsid w:val="00CD3C60"/>
    <w:rsid w:val="00CD3F2A"/>
    <w:rsid w:val="00CD43F1"/>
    <w:rsid w:val="00CD4F0A"/>
    <w:rsid w:val="00CD5CFE"/>
    <w:rsid w:val="00CD67C2"/>
    <w:rsid w:val="00CD77A8"/>
    <w:rsid w:val="00CD7C02"/>
    <w:rsid w:val="00CE02EC"/>
    <w:rsid w:val="00CE0A6A"/>
    <w:rsid w:val="00CE0F04"/>
    <w:rsid w:val="00CE1D78"/>
    <w:rsid w:val="00CE3206"/>
    <w:rsid w:val="00CE3354"/>
    <w:rsid w:val="00CE3CD3"/>
    <w:rsid w:val="00CE4E2B"/>
    <w:rsid w:val="00CE6116"/>
    <w:rsid w:val="00CE6E2E"/>
    <w:rsid w:val="00CE7C41"/>
    <w:rsid w:val="00CF1B68"/>
    <w:rsid w:val="00CF2F56"/>
    <w:rsid w:val="00CF36B1"/>
    <w:rsid w:val="00CF375E"/>
    <w:rsid w:val="00CF4B6F"/>
    <w:rsid w:val="00CF4FA4"/>
    <w:rsid w:val="00CF5C5D"/>
    <w:rsid w:val="00CF6CC0"/>
    <w:rsid w:val="00CF7633"/>
    <w:rsid w:val="00CF7776"/>
    <w:rsid w:val="00CF7DE1"/>
    <w:rsid w:val="00D003C8"/>
    <w:rsid w:val="00D013FA"/>
    <w:rsid w:val="00D01741"/>
    <w:rsid w:val="00D036AF"/>
    <w:rsid w:val="00D071E7"/>
    <w:rsid w:val="00D103F5"/>
    <w:rsid w:val="00D105B0"/>
    <w:rsid w:val="00D11889"/>
    <w:rsid w:val="00D11F93"/>
    <w:rsid w:val="00D11F9E"/>
    <w:rsid w:val="00D125E4"/>
    <w:rsid w:val="00D12D20"/>
    <w:rsid w:val="00D13EC3"/>
    <w:rsid w:val="00D140E5"/>
    <w:rsid w:val="00D1467F"/>
    <w:rsid w:val="00D146FA"/>
    <w:rsid w:val="00D16150"/>
    <w:rsid w:val="00D1721B"/>
    <w:rsid w:val="00D17D51"/>
    <w:rsid w:val="00D21B5B"/>
    <w:rsid w:val="00D22CCA"/>
    <w:rsid w:val="00D2392F"/>
    <w:rsid w:val="00D2491C"/>
    <w:rsid w:val="00D26285"/>
    <w:rsid w:val="00D27925"/>
    <w:rsid w:val="00D305EB"/>
    <w:rsid w:val="00D323AD"/>
    <w:rsid w:val="00D3288C"/>
    <w:rsid w:val="00D33345"/>
    <w:rsid w:val="00D341F5"/>
    <w:rsid w:val="00D34317"/>
    <w:rsid w:val="00D345F1"/>
    <w:rsid w:val="00D378B6"/>
    <w:rsid w:val="00D408D9"/>
    <w:rsid w:val="00D41E06"/>
    <w:rsid w:val="00D426CE"/>
    <w:rsid w:val="00D42D0F"/>
    <w:rsid w:val="00D43FA5"/>
    <w:rsid w:val="00D44983"/>
    <w:rsid w:val="00D44EB3"/>
    <w:rsid w:val="00D47114"/>
    <w:rsid w:val="00D472DC"/>
    <w:rsid w:val="00D52404"/>
    <w:rsid w:val="00D538C6"/>
    <w:rsid w:val="00D55B41"/>
    <w:rsid w:val="00D607F1"/>
    <w:rsid w:val="00D6229F"/>
    <w:rsid w:val="00D62D44"/>
    <w:rsid w:val="00D62F9B"/>
    <w:rsid w:val="00D63A04"/>
    <w:rsid w:val="00D6401A"/>
    <w:rsid w:val="00D644E5"/>
    <w:rsid w:val="00D64A3B"/>
    <w:rsid w:val="00D65202"/>
    <w:rsid w:val="00D652C5"/>
    <w:rsid w:val="00D65CFF"/>
    <w:rsid w:val="00D679AD"/>
    <w:rsid w:val="00D67CA3"/>
    <w:rsid w:val="00D70DB1"/>
    <w:rsid w:val="00D7149F"/>
    <w:rsid w:val="00D71B0C"/>
    <w:rsid w:val="00D72419"/>
    <w:rsid w:val="00D72868"/>
    <w:rsid w:val="00D73CBF"/>
    <w:rsid w:val="00D746AA"/>
    <w:rsid w:val="00D75EA2"/>
    <w:rsid w:val="00D76930"/>
    <w:rsid w:val="00D76A73"/>
    <w:rsid w:val="00D77A8A"/>
    <w:rsid w:val="00D77F77"/>
    <w:rsid w:val="00D80C5B"/>
    <w:rsid w:val="00D81A2C"/>
    <w:rsid w:val="00D826D4"/>
    <w:rsid w:val="00D82984"/>
    <w:rsid w:val="00D837A3"/>
    <w:rsid w:val="00D840FC"/>
    <w:rsid w:val="00D84102"/>
    <w:rsid w:val="00D85E6A"/>
    <w:rsid w:val="00D862C0"/>
    <w:rsid w:val="00D86B4B"/>
    <w:rsid w:val="00D86E8D"/>
    <w:rsid w:val="00D8715F"/>
    <w:rsid w:val="00D874C1"/>
    <w:rsid w:val="00D87D43"/>
    <w:rsid w:val="00D91A3F"/>
    <w:rsid w:val="00D9213B"/>
    <w:rsid w:val="00D92418"/>
    <w:rsid w:val="00D92553"/>
    <w:rsid w:val="00D93025"/>
    <w:rsid w:val="00D9674C"/>
    <w:rsid w:val="00D969E4"/>
    <w:rsid w:val="00DA005A"/>
    <w:rsid w:val="00DA01AC"/>
    <w:rsid w:val="00DA1E5A"/>
    <w:rsid w:val="00DA1EFD"/>
    <w:rsid w:val="00DA309E"/>
    <w:rsid w:val="00DA30F8"/>
    <w:rsid w:val="00DA4D5A"/>
    <w:rsid w:val="00DA4D87"/>
    <w:rsid w:val="00DA55F6"/>
    <w:rsid w:val="00DA72A4"/>
    <w:rsid w:val="00DA753D"/>
    <w:rsid w:val="00DB02A0"/>
    <w:rsid w:val="00DB0F62"/>
    <w:rsid w:val="00DB202B"/>
    <w:rsid w:val="00DB26FB"/>
    <w:rsid w:val="00DB2869"/>
    <w:rsid w:val="00DB366B"/>
    <w:rsid w:val="00DB44FD"/>
    <w:rsid w:val="00DB451D"/>
    <w:rsid w:val="00DB5E5A"/>
    <w:rsid w:val="00DB7604"/>
    <w:rsid w:val="00DB76A6"/>
    <w:rsid w:val="00DC0F5C"/>
    <w:rsid w:val="00DC1666"/>
    <w:rsid w:val="00DC1D02"/>
    <w:rsid w:val="00DC1FDA"/>
    <w:rsid w:val="00DC233D"/>
    <w:rsid w:val="00DC4F8E"/>
    <w:rsid w:val="00DC62CF"/>
    <w:rsid w:val="00DC72D3"/>
    <w:rsid w:val="00DC736E"/>
    <w:rsid w:val="00DC7434"/>
    <w:rsid w:val="00DC796A"/>
    <w:rsid w:val="00DC7B87"/>
    <w:rsid w:val="00DD21EB"/>
    <w:rsid w:val="00DD2F15"/>
    <w:rsid w:val="00DD6F20"/>
    <w:rsid w:val="00DD7BB4"/>
    <w:rsid w:val="00DD7D83"/>
    <w:rsid w:val="00DE3A1A"/>
    <w:rsid w:val="00DE3B02"/>
    <w:rsid w:val="00DE3C20"/>
    <w:rsid w:val="00DE59AE"/>
    <w:rsid w:val="00DE5B1D"/>
    <w:rsid w:val="00DE60D1"/>
    <w:rsid w:val="00DE6BA1"/>
    <w:rsid w:val="00DE6F59"/>
    <w:rsid w:val="00DE7337"/>
    <w:rsid w:val="00DE7A09"/>
    <w:rsid w:val="00DF1583"/>
    <w:rsid w:val="00DF315B"/>
    <w:rsid w:val="00DF5358"/>
    <w:rsid w:val="00DF5CBD"/>
    <w:rsid w:val="00DF6D5B"/>
    <w:rsid w:val="00DF7603"/>
    <w:rsid w:val="00DF7A7A"/>
    <w:rsid w:val="00DF7E4A"/>
    <w:rsid w:val="00E00452"/>
    <w:rsid w:val="00E0052C"/>
    <w:rsid w:val="00E01841"/>
    <w:rsid w:val="00E02391"/>
    <w:rsid w:val="00E03E5E"/>
    <w:rsid w:val="00E04675"/>
    <w:rsid w:val="00E055F5"/>
    <w:rsid w:val="00E06C7B"/>
    <w:rsid w:val="00E10035"/>
    <w:rsid w:val="00E10057"/>
    <w:rsid w:val="00E114D3"/>
    <w:rsid w:val="00E1178D"/>
    <w:rsid w:val="00E1278A"/>
    <w:rsid w:val="00E1330F"/>
    <w:rsid w:val="00E13752"/>
    <w:rsid w:val="00E14DBB"/>
    <w:rsid w:val="00E1618F"/>
    <w:rsid w:val="00E16C8E"/>
    <w:rsid w:val="00E21863"/>
    <w:rsid w:val="00E24460"/>
    <w:rsid w:val="00E31419"/>
    <w:rsid w:val="00E31674"/>
    <w:rsid w:val="00E321C0"/>
    <w:rsid w:val="00E32EB2"/>
    <w:rsid w:val="00E333A2"/>
    <w:rsid w:val="00E339C2"/>
    <w:rsid w:val="00E344F7"/>
    <w:rsid w:val="00E3464E"/>
    <w:rsid w:val="00E352BA"/>
    <w:rsid w:val="00E357A5"/>
    <w:rsid w:val="00E37539"/>
    <w:rsid w:val="00E37B68"/>
    <w:rsid w:val="00E406F1"/>
    <w:rsid w:val="00E4078E"/>
    <w:rsid w:val="00E40F56"/>
    <w:rsid w:val="00E412C8"/>
    <w:rsid w:val="00E41418"/>
    <w:rsid w:val="00E421FC"/>
    <w:rsid w:val="00E434B4"/>
    <w:rsid w:val="00E43A4E"/>
    <w:rsid w:val="00E43B7E"/>
    <w:rsid w:val="00E44716"/>
    <w:rsid w:val="00E45853"/>
    <w:rsid w:val="00E462A7"/>
    <w:rsid w:val="00E469E6"/>
    <w:rsid w:val="00E4735F"/>
    <w:rsid w:val="00E50020"/>
    <w:rsid w:val="00E50039"/>
    <w:rsid w:val="00E507F0"/>
    <w:rsid w:val="00E50AEA"/>
    <w:rsid w:val="00E50CCD"/>
    <w:rsid w:val="00E51240"/>
    <w:rsid w:val="00E53581"/>
    <w:rsid w:val="00E536CF"/>
    <w:rsid w:val="00E53922"/>
    <w:rsid w:val="00E54316"/>
    <w:rsid w:val="00E54E80"/>
    <w:rsid w:val="00E55BA7"/>
    <w:rsid w:val="00E563AA"/>
    <w:rsid w:val="00E5706E"/>
    <w:rsid w:val="00E57A75"/>
    <w:rsid w:val="00E57C2D"/>
    <w:rsid w:val="00E6035F"/>
    <w:rsid w:val="00E60A5C"/>
    <w:rsid w:val="00E60B63"/>
    <w:rsid w:val="00E6144A"/>
    <w:rsid w:val="00E61672"/>
    <w:rsid w:val="00E61A4F"/>
    <w:rsid w:val="00E61DDA"/>
    <w:rsid w:val="00E61E95"/>
    <w:rsid w:val="00E61EC8"/>
    <w:rsid w:val="00E6206B"/>
    <w:rsid w:val="00E65388"/>
    <w:rsid w:val="00E666B7"/>
    <w:rsid w:val="00E70F7E"/>
    <w:rsid w:val="00E724B4"/>
    <w:rsid w:val="00E733DF"/>
    <w:rsid w:val="00E76C2E"/>
    <w:rsid w:val="00E76EDA"/>
    <w:rsid w:val="00E7701E"/>
    <w:rsid w:val="00E800BE"/>
    <w:rsid w:val="00E80470"/>
    <w:rsid w:val="00E80F29"/>
    <w:rsid w:val="00E81E3A"/>
    <w:rsid w:val="00E84ADA"/>
    <w:rsid w:val="00E85221"/>
    <w:rsid w:val="00E8532D"/>
    <w:rsid w:val="00E8661F"/>
    <w:rsid w:val="00E866E8"/>
    <w:rsid w:val="00E86E42"/>
    <w:rsid w:val="00E86EAD"/>
    <w:rsid w:val="00E908E2"/>
    <w:rsid w:val="00E90E93"/>
    <w:rsid w:val="00E916B7"/>
    <w:rsid w:val="00E923BA"/>
    <w:rsid w:val="00E92ADD"/>
    <w:rsid w:val="00E930A3"/>
    <w:rsid w:val="00E93142"/>
    <w:rsid w:val="00E93217"/>
    <w:rsid w:val="00E93B1A"/>
    <w:rsid w:val="00E94496"/>
    <w:rsid w:val="00E94F1D"/>
    <w:rsid w:val="00E9571E"/>
    <w:rsid w:val="00E95AA5"/>
    <w:rsid w:val="00E96076"/>
    <w:rsid w:val="00EA00E2"/>
    <w:rsid w:val="00EA274D"/>
    <w:rsid w:val="00EA2EF7"/>
    <w:rsid w:val="00EA34FE"/>
    <w:rsid w:val="00EA43C1"/>
    <w:rsid w:val="00EA43F2"/>
    <w:rsid w:val="00EA47EC"/>
    <w:rsid w:val="00EA5787"/>
    <w:rsid w:val="00EA5C08"/>
    <w:rsid w:val="00EA7547"/>
    <w:rsid w:val="00EB095D"/>
    <w:rsid w:val="00EB0CCA"/>
    <w:rsid w:val="00EB11E5"/>
    <w:rsid w:val="00EB162A"/>
    <w:rsid w:val="00EB1B19"/>
    <w:rsid w:val="00EB21AA"/>
    <w:rsid w:val="00EB2752"/>
    <w:rsid w:val="00EB289E"/>
    <w:rsid w:val="00EB2D82"/>
    <w:rsid w:val="00EB32A8"/>
    <w:rsid w:val="00EB3FFE"/>
    <w:rsid w:val="00EB498B"/>
    <w:rsid w:val="00EB4CFA"/>
    <w:rsid w:val="00EB5099"/>
    <w:rsid w:val="00EB73FA"/>
    <w:rsid w:val="00EC2BB1"/>
    <w:rsid w:val="00EC2CC3"/>
    <w:rsid w:val="00EC3D00"/>
    <w:rsid w:val="00EC4030"/>
    <w:rsid w:val="00EC6460"/>
    <w:rsid w:val="00EC73F6"/>
    <w:rsid w:val="00ED00DC"/>
    <w:rsid w:val="00ED030B"/>
    <w:rsid w:val="00ED0858"/>
    <w:rsid w:val="00ED0AC0"/>
    <w:rsid w:val="00ED260E"/>
    <w:rsid w:val="00ED4274"/>
    <w:rsid w:val="00ED4F6F"/>
    <w:rsid w:val="00ED55B1"/>
    <w:rsid w:val="00ED768D"/>
    <w:rsid w:val="00EE090C"/>
    <w:rsid w:val="00EE0CC0"/>
    <w:rsid w:val="00EE3E86"/>
    <w:rsid w:val="00EE4B51"/>
    <w:rsid w:val="00EE7930"/>
    <w:rsid w:val="00EF1694"/>
    <w:rsid w:val="00EF472C"/>
    <w:rsid w:val="00EF6025"/>
    <w:rsid w:val="00EF6E72"/>
    <w:rsid w:val="00EF7942"/>
    <w:rsid w:val="00EF7B70"/>
    <w:rsid w:val="00F008D2"/>
    <w:rsid w:val="00F01EC0"/>
    <w:rsid w:val="00F0239B"/>
    <w:rsid w:val="00F045D6"/>
    <w:rsid w:val="00F049C0"/>
    <w:rsid w:val="00F05C0F"/>
    <w:rsid w:val="00F05CBE"/>
    <w:rsid w:val="00F06053"/>
    <w:rsid w:val="00F06377"/>
    <w:rsid w:val="00F06C24"/>
    <w:rsid w:val="00F0787B"/>
    <w:rsid w:val="00F11149"/>
    <w:rsid w:val="00F1219A"/>
    <w:rsid w:val="00F13367"/>
    <w:rsid w:val="00F13800"/>
    <w:rsid w:val="00F141FC"/>
    <w:rsid w:val="00F15F11"/>
    <w:rsid w:val="00F17946"/>
    <w:rsid w:val="00F207A1"/>
    <w:rsid w:val="00F21404"/>
    <w:rsid w:val="00F214E5"/>
    <w:rsid w:val="00F21C1E"/>
    <w:rsid w:val="00F21FE7"/>
    <w:rsid w:val="00F22A7C"/>
    <w:rsid w:val="00F23252"/>
    <w:rsid w:val="00F232EA"/>
    <w:rsid w:val="00F24076"/>
    <w:rsid w:val="00F26090"/>
    <w:rsid w:val="00F27AAA"/>
    <w:rsid w:val="00F311B3"/>
    <w:rsid w:val="00F31BBC"/>
    <w:rsid w:val="00F33319"/>
    <w:rsid w:val="00F361FD"/>
    <w:rsid w:val="00F3628E"/>
    <w:rsid w:val="00F36579"/>
    <w:rsid w:val="00F369B3"/>
    <w:rsid w:val="00F4084F"/>
    <w:rsid w:val="00F40F30"/>
    <w:rsid w:val="00F42793"/>
    <w:rsid w:val="00F42DF8"/>
    <w:rsid w:val="00F43BC1"/>
    <w:rsid w:val="00F45140"/>
    <w:rsid w:val="00F454D5"/>
    <w:rsid w:val="00F45825"/>
    <w:rsid w:val="00F45A52"/>
    <w:rsid w:val="00F45A77"/>
    <w:rsid w:val="00F46934"/>
    <w:rsid w:val="00F46CAF"/>
    <w:rsid w:val="00F50672"/>
    <w:rsid w:val="00F52A9F"/>
    <w:rsid w:val="00F5358E"/>
    <w:rsid w:val="00F53EE8"/>
    <w:rsid w:val="00F54A7F"/>
    <w:rsid w:val="00F550E5"/>
    <w:rsid w:val="00F55F1E"/>
    <w:rsid w:val="00F55F35"/>
    <w:rsid w:val="00F56786"/>
    <w:rsid w:val="00F56D6B"/>
    <w:rsid w:val="00F6095E"/>
    <w:rsid w:val="00F60D22"/>
    <w:rsid w:val="00F61551"/>
    <w:rsid w:val="00F61AB9"/>
    <w:rsid w:val="00F61B5D"/>
    <w:rsid w:val="00F61D9A"/>
    <w:rsid w:val="00F62481"/>
    <w:rsid w:val="00F645DA"/>
    <w:rsid w:val="00F64B0C"/>
    <w:rsid w:val="00F660BD"/>
    <w:rsid w:val="00F66FFC"/>
    <w:rsid w:val="00F7017D"/>
    <w:rsid w:val="00F72232"/>
    <w:rsid w:val="00F723A3"/>
    <w:rsid w:val="00F732C9"/>
    <w:rsid w:val="00F73818"/>
    <w:rsid w:val="00F73A7C"/>
    <w:rsid w:val="00F7597B"/>
    <w:rsid w:val="00F75BDF"/>
    <w:rsid w:val="00F75E16"/>
    <w:rsid w:val="00F81108"/>
    <w:rsid w:val="00F81621"/>
    <w:rsid w:val="00F82ABB"/>
    <w:rsid w:val="00F82B5E"/>
    <w:rsid w:val="00F82C35"/>
    <w:rsid w:val="00F84059"/>
    <w:rsid w:val="00F8428A"/>
    <w:rsid w:val="00F8465F"/>
    <w:rsid w:val="00F84813"/>
    <w:rsid w:val="00F84927"/>
    <w:rsid w:val="00F850D2"/>
    <w:rsid w:val="00F8562C"/>
    <w:rsid w:val="00F85ED3"/>
    <w:rsid w:val="00F87E5D"/>
    <w:rsid w:val="00F90081"/>
    <w:rsid w:val="00F92214"/>
    <w:rsid w:val="00F934F6"/>
    <w:rsid w:val="00F93E20"/>
    <w:rsid w:val="00F949E4"/>
    <w:rsid w:val="00F94F94"/>
    <w:rsid w:val="00F96FDB"/>
    <w:rsid w:val="00FA0306"/>
    <w:rsid w:val="00FA0970"/>
    <w:rsid w:val="00FA25E8"/>
    <w:rsid w:val="00FA4398"/>
    <w:rsid w:val="00FA47A0"/>
    <w:rsid w:val="00FA4ED0"/>
    <w:rsid w:val="00FA50B1"/>
    <w:rsid w:val="00FA599F"/>
    <w:rsid w:val="00FA5D97"/>
    <w:rsid w:val="00FA6001"/>
    <w:rsid w:val="00FA6D20"/>
    <w:rsid w:val="00FB0BE7"/>
    <w:rsid w:val="00FB1408"/>
    <w:rsid w:val="00FB1656"/>
    <w:rsid w:val="00FB2571"/>
    <w:rsid w:val="00FB3181"/>
    <w:rsid w:val="00FB3696"/>
    <w:rsid w:val="00FB5055"/>
    <w:rsid w:val="00FB5254"/>
    <w:rsid w:val="00FB65FB"/>
    <w:rsid w:val="00FB6C20"/>
    <w:rsid w:val="00FB6EC9"/>
    <w:rsid w:val="00FC025D"/>
    <w:rsid w:val="00FC18EB"/>
    <w:rsid w:val="00FC1CF3"/>
    <w:rsid w:val="00FC4E52"/>
    <w:rsid w:val="00FC4FF3"/>
    <w:rsid w:val="00FC556C"/>
    <w:rsid w:val="00FC5F51"/>
    <w:rsid w:val="00FC6AE0"/>
    <w:rsid w:val="00FC6AF4"/>
    <w:rsid w:val="00FC771B"/>
    <w:rsid w:val="00FC7D2A"/>
    <w:rsid w:val="00FD0013"/>
    <w:rsid w:val="00FD0951"/>
    <w:rsid w:val="00FD137E"/>
    <w:rsid w:val="00FD3402"/>
    <w:rsid w:val="00FD59EF"/>
    <w:rsid w:val="00FD5B9F"/>
    <w:rsid w:val="00FD5F5B"/>
    <w:rsid w:val="00FD6298"/>
    <w:rsid w:val="00FD7227"/>
    <w:rsid w:val="00FD79C6"/>
    <w:rsid w:val="00FE0674"/>
    <w:rsid w:val="00FE0BAF"/>
    <w:rsid w:val="00FE0BDC"/>
    <w:rsid w:val="00FE116C"/>
    <w:rsid w:val="00FE1360"/>
    <w:rsid w:val="00FE329A"/>
    <w:rsid w:val="00FE36FF"/>
    <w:rsid w:val="00FF05E1"/>
    <w:rsid w:val="00FF060A"/>
    <w:rsid w:val="00FF06D3"/>
    <w:rsid w:val="00FF2A38"/>
    <w:rsid w:val="00FF2E35"/>
    <w:rsid w:val="00FF3108"/>
    <w:rsid w:val="00FF37C5"/>
    <w:rsid w:val="00FF3FA2"/>
    <w:rsid w:val="00FF4565"/>
    <w:rsid w:val="00FF6E7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6" fill="f" fillcolor="white" strokecolor="none [3215]">
      <v:fill color="white" on="f"/>
      <v:stroke color="none [3215]" weight="1.5pt"/>
      <v:textbox inset="5.85pt,.7pt,5.85pt,.7pt"/>
      <o:colormru v:ext="edit" colors="#074b88,#0b74af,#c90,#af9c53,#ccecff,#ddd"/>
    </o:shapedefaults>
    <o:shapelayout v:ext="edit">
      <o:idmap v:ext="edit" data="1"/>
    </o:shapelayout>
  </w:shapeDefaults>
  <w:decimalSymbol w:val="."/>
  <w:listSeparator w:val=","/>
  <w14:docId w14:val="5D9B65A0"/>
  <w15:docId w15:val="{47C1FB78-8034-406E-AE30-72C73B1B68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New York" w:eastAsia="MS Mincho" w:hAnsi="New York"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1EC9"/>
    <w:pPr>
      <w:spacing w:after="120"/>
    </w:pPr>
    <w:rPr>
      <w:rFonts w:ascii="Arial" w:eastAsia="Times New Roman" w:hAnsi="Arial" w:cs="Arial"/>
      <w:szCs w:val="22"/>
    </w:rPr>
  </w:style>
  <w:style w:type="paragraph" w:styleId="Heading1">
    <w:name w:val="heading 1"/>
    <w:basedOn w:val="Num-Heading1"/>
    <w:next w:val="Normal"/>
    <w:link w:val="Heading1Char"/>
    <w:qFormat/>
    <w:rsid w:val="0005736E"/>
    <w:pPr>
      <w:numPr>
        <w:numId w:val="0"/>
      </w:numPr>
    </w:pPr>
  </w:style>
  <w:style w:type="paragraph" w:styleId="Heading2">
    <w:name w:val="heading 2"/>
    <w:basedOn w:val="Num-Heading2"/>
    <w:next w:val="Normal"/>
    <w:link w:val="Heading2Char"/>
    <w:qFormat/>
    <w:rsid w:val="00793A9A"/>
    <w:pPr>
      <w:numPr>
        <w:numId w:val="0"/>
      </w:numPr>
    </w:pPr>
  </w:style>
  <w:style w:type="paragraph" w:styleId="Heading3">
    <w:name w:val="heading 3"/>
    <w:basedOn w:val="Normal"/>
    <w:next w:val="Normal"/>
    <w:qFormat/>
    <w:rsid w:val="00793A9A"/>
    <w:pPr>
      <w:keepNext/>
      <w:numPr>
        <w:ilvl w:val="2"/>
        <w:numId w:val="15"/>
      </w:numPr>
      <w:spacing w:before="240"/>
      <w:outlineLvl w:val="2"/>
    </w:pPr>
    <w:rPr>
      <w:rFonts w:ascii="Arial Black" w:hAnsi="Arial Black"/>
      <w:b/>
      <w:snapToGrid w:val="0"/>
      <w:sz w:val="24"/>
    </w:rPr>
  </w:style>
  <w:style w:type="paragraph" w:styleId="Heading4">
    <w:name w:val="heading 4"/>
    <w:basedOn w:val="Normal"/>
    <w:next w:val="Normal"/>
    <w:qFormat/>
    <w:rsid w:val="00561B0F"/>
    <w:pPr>
      <w:keepNext/>
      <w:numPr>
        <w:ilvl w:val="3"/>
        <w:numId w:val="15"/>
      </w:numPr>
      <w:spacing w:before="240"/>
      <w:outlineLvl w:val="3"/>
    </w:pPr>
    <w:rPr>
      <w:b/>
      <w:i/>
      <w:sz w:val="24"/>
    </w:rPr>
  </w:style>
  <w:style w:type="paragraph" w:styleId="Heading5">
    <w:name w:val="heading 5"/>
    <w:basedOn w:val="Normal"/>
    <w:next w:val="Normal"/>
    <w:qFormat/>
    <w:rsid w:val="00561B0F"/>
    <w:pPr>
      <w:keepNext/>
      <w:numPr>
        <w:ilvl w:val="4"/>
        <w:numId w:val="15"/>
      </w:numPr>
      <w:spacing w:before="240"/>
      <w:outlineLvl w:val="4"/>
    </w:pPr>
    <w:rPr>
      <w:b/>
      <w:i/>
      <w:sz w:val="24"/>
      <w:u w:val="single"/>
    </w:rPr>
  </w:style>
  <w:style w:type="paragraph" w:styleId="Heading6">
    <w:name w:val="heading 6"/>
    <w:basedOn w:val="Normal"/>
    <w:next w:val="Normal"/>
    <w:qFormat/>
    <w:rsid w:val="00561B0F"/>
    <w:pPr>
      <w:keepNext/>
      <w:numPr>
        <w:ilvl w:val="5"/>
        <w:numId w:val="15"/>
      </w:numPr>
      <w:spacing w:before="240"/>
      <w:outlineLvl w:val="5"/>
    </w:pPr>
    <w:rPr>
      <w:sz w:val="24"/>
    </w:rPr>
  </w:style>
  <w:style w:type="paragraph" w:styleId="Heading7">
    <w:name w:val="heading 7"/>
    <w:basedOn w:val="Normal"/>
    <w:next w:val="Normal"/>
    <w:qFormat/>
    <w:rsid w:val="00561B0F"/>
    <w:pPr>
      <w:keepNext/>
      <w:numPr>
        <w:ilvl w:val="6"/>
        <w:numId w:val="15"/>
      </w:numPr>
      <w:spacing w:before="240"/>
      <w:outlineLvl w:val="6"/>
    </w:pPr>
    <w:rPr>
      <w:i/>
      <w:sz w:val="24"/>
    </w:rPr>
  </w:style>
  <w:style w:type="paragraph" w:styleId="Heading8">
    <w:name w:val="heading 8"/>
    <w:basedOn w:val="Normal"/>
    <w:next w:val="Normal"/>
    <w:qFormat/>
    <w:rsid w:val="00561B0F"/>
    <w:pPr>
      <w:keepNext/>
      <w:numPr>
        <w:ilvl w:val="7"/>
        <w:numId w:val="15"/>
      </w:numPr>
      <w:spacing w:before="240"/>
      <w:outlineLvl w:val="7"/>
    </w:pPr>
    <w:rPr>
      <w:bCs/>
      <w:i/>
      <w:sz w:val="24"/>
      <w:u w:val="single"/>
    </w:rPr>
  </w:style>
  <w:style w:type="paragraph" w:styleId="Heading9">
    <w:name w:val="heading 9"/>
    <w:basedOn w:val="Normal"/>
    <w:next w:val="Normal"/>
    <w:qFormat/>
    <w:rsid w:val="00561B0F"/>
    <w:pPr>
      <w:keepNext/>
      <w:numPr>
        <w:ilvl w:val="8"/>
        <w:numId w:val="15"/>
      </w:numPr>
      <w:spacing w:before="240"/>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1">
    <w:name w:val="bullet 1"/>
    <w:basedOn w:val="Normal"/>
    <w:link w:val="bullet1Char"/>
    <w:rsid w:val="00FC7D2A"/>
    <w:pPr>
      <w:numPr>
        <w:numId w:val="21"/>
      </w:numPr>
      <w:ind w:left="360"/>
    </w:pPr>
  </w:style>
  <w:style w:type="paragraph" w:customStyle="1" w:styleId="bullet2">
    <w:name w:val="bullet 2"/>
    <w:basedOn w:val="Normal"/>
    <w:rsid w:val="00FC7D2A"/>
    <w:pPr>
      <w:numPr>
        <w:ilvl w:val="2"/>
        <w:numId w:val="20"/>
      </w:numPr>
      <w:ind w:left="720"/>
    </w:pPr>
  </w:style>
  <w:style w:type="paragraph" w:styleId="Footer">
    <w:name w:val="footer"/>
    <w:basedOn w:val="Normal"/>
    <w:link w:val="FooterChar"/>
    <w:uiPriority w:val="99"/>
    <w:rsid w:val="00FF3FA2"/>
    <w:pPr>
      <w:spacing w:after="0"/>
      <w:jc w:val="center"/>
    </w:pPr>
    <w:rPr>
      <w:sz w:val="18"/>
    </w:rPr>
  </w:style>
  <w:style w:type="paragraph" w:customStyle="1" w:styleId="TableText">
    <w:name w:val="Table Text"/>
    <w:basedOn w:val="Normal"/>
    <w:link w:val="TableTextChar"/>
    <w:rsid w:val="00680DB3"/>
    <w:pPr>
      <w:numPr>
        <w:ilvl w:val="4"/>
      </w:numPr>
      <w:spacing w:before="40" w:after="40"/>
    </w:pPr>
  </w:style>
  <w:style w:type="character" w:styleId="PageNumber">
    <w:name w:val="page number"/>
    <w:rsid w:val="00B112A6"/>
  </w:style>
  <w:style w:type="paragraph" w:customStyle="1" w:styleId="Note">
    <w:name w:val="Note"/>
    <w:basedOn w:val="Normal"/>
    <w:rsid w:val="002969AA"/>
    <w:pPr>
      <w:spacing w:before="60" w:after="240"/>
    </w:pPr>
    <w:rPr>
      <w:sz w:val="18"/>
    </w:rPr>
  </w:style>
  <w:style w:type="paragraph" w:customStyle="1" w:styleId="CoverClient">
    <w:name w:val="CoverClient"/>
    <w:basedOn w:val="Normal"/>
    <w:next w:val="CoverTitle"/>
    <w:rsid w:val="0005736E"/>
    <w:pPr>
      <w:spacing w:after="0"/>
      <w:ind w:left="1430"/>
    </w:pPr>
    <w:rPr>
      <w:rFonts w:ascii="Arial Black" w:hAnsi="Arial Black"/>
      <w:b/>
      <w:color w:val="002856" w:themeColor="text2"/>
      <w:sz w:val="44"/>
      <w:szCs w:val="44"/>
    </w:rPr>
  </w:style>
  <w:style w:type="paragraph" w:customStyle="1" w:styleId="CoverTitle">
    <w:name w:val="CoverTitle"/>
    <w:basedOn w:val="CoverPreparedFor"/>
    <w:next w:val="CoverDate"/>
    <w:rsid w:val="00E90E93"/>
    <w:pPr>
      <w:pageBreakBefore/>
      <w:spacing w:before="840"/>
      <w:ind w:left="0"/>
      <w:jc w:val="center"/>
    </w:pPr>
    <w:rPr>
      <w:b w:val="0"/>
      <w:color w:val="auto"/>
      <w:sz w:val="36"/>
      <w:szCs w:val="36"/>
    </w:rPr>
  </w:style>
  <w:style w:type="paragraph" w:customStyle="1" w:styleId="CoverDate">
    <w:name w:val="CoverDate"/>
    <w:basedOn w:val="Normal"/>
    <w:next w:val="CoverEngagement"/>
    <w:rsid w:val="0088316A"/>
    <w:pPr>
      <w:spacing w:before="400" w:after="0"/>
      <w:ind w:left="1430"/>
    </w:pPr>
    <w:rPr>
      <w:szCs w:val="20"/>
    </w:rPr>
  </w:style>
  <w:style w:type="paragraph" w:customStyle="1" w:styleId="CoverEngagement">
    <w:name w:val="CoverEngagement"/>
    <w:basedOn w:val="Normal"/>
    <w:next w:val="Normal"/>
    <w:rsid w:val="0088316A"/>
    <w:pPr>
      <w:spacing w:before="60" w:after="0"/>
      <w:ind w:left="1430"/>
    </w:pPr>
    <w:rPr>
      <w:szCs w:val="20"/>
    </w:rPr>
  </w:style>
  <w:style w:type="paragraph" w:customStyle="1" w:styleId="Header-right-line">
    <w:name w:val="Header-right-line"/>
    <w:basedOn w:val="Header-right"/>
    <w:next w:val="Header-right"/>
    <w:rsid w:val="00F7597B"/>
    <w:pPr>
      <w:pBdr>
        <w:bottom w:val="single" w:sz="4" w:space="1" w:color="auto"/>
      </w:pBdr>
    </w:pPr>
  </w:style>
  <w:style w:type="paragraph" w:customStyle="1" w:styleId="Source">
    <w:name w:val="Source"/>
    <w:basedOn w:val="Normal"/>
    <w:next w:val="Normal"/>
    <w:rsid w:val="002969AA"/>
    <w:pPr>
      <w:spacing w:before="60" w:after="240"/>
      <w:jc w:val="right"/>
    </w:pPr>
    <w:rPr>
      <w:sz w:val="18"/>
    </w:rPr>
  </w:style>
  <w:style w:type="paragraph" w:customStyle="1" w:styleId="bullet3">
    <w:name w:val="bullet 3"/>
    <w:basedOn w:val="bulletindent1"/>
    <w:rsid w:val="00FC7D2A"/>
    <w:pPr>
      <w:numPr>
        <w:ilvl w:val="4"/>
      </w:numPr>
      <w:ind w:left="1080"/>
    </w:pPr>
  </w:style>
  <w:style w:type="paragraph" w:customStyle="1" w:styleId="Figure">
    <w:name w:val="Figure"/>
    <w:basedOn w:val="Normal"/>
    <w:next w:val="Source"/>
    <w:rsid w:val="000542EC"/>
    <w:pPr>
      <w:jc w:val="center"/>
    </w:pPr>
    <w:rPr>
      <w:snapToGrid w:val="0"/>
      <w:sz w:val="16"/>
    </w:rPr>
  </w:style>
  <w:style w:type="paragraph" w:customStyle="1" w:styleId="TableBullet1">
    <w:name w:val="Table Bullet1"/>
    <w:basedOn w:val="Normal"/>
    <w:rsid w:val="00A4360E"/>
    <w:pPr>
      <w:numPr>
        <w:numId w:val="22"/>
      </w:numPr>
      <w:spacing w:before="40" w:after="40"/>
    </w:pPr>
  </w:style>
  <w:style w:type="paragraph" w:customStyle="1" w:styleId="bulletindent1">
    <w:name w:val="bullet indent 1"/>
    <w:basedOn w:val="Normal"/>
    <w:rsid w:val="00BD1E7F"/>
    <w:pPr>
      <w:numPr>
        <w:ilvl w:val="1"/>
        <w:numId w:val="21"/>
      </w:numPr>
    </w:pPr>
  </w:style>
  <w:style w:type="paragraph" w:customStyle="1" w:styleId="BioName">
    <w:name w:val="BioName"/>
    <w:basedOn w:val="Normal"/>
    <w:next w:val="Normal"/>
    <w:rsid w:val="00706056"/>
    <w:pPr>
      <w:pageBreakBefore/>
      <w:pBdr>
        <w:bottom w:val="single" w:sz="6" w:space="0" w:color="auto"/>
      </w:pBdr>
      <w:spacing w:after="0"/>
    </w:pPr>
    <w:rPr>
      <w:b/>
      <w:sz w:val="24"/>
    </w:rPr>
  </w:style>
  <w:style w:type="paragraph" w:styleId="TOC1">
    <w:name w:val="toc 1"/>
    <w:basedOn w:val="Normal"/>
    <w:next w:val="Normal"/>
    <w:uiPriority w:val="39"/>
    <w:rsid w:val="007C76FD"/>
    <w:pPr>
      <w:tabs>
        <w:tab w:val="left" w:pos="540"/>
        <w:tab w:val="right" w:leader="dot" w:pos="9360"/>
      </w:tabs>
      <w:spacing w:after="80"/>
      <w:ind w:left="540" w:right="720" w:hanging="540"/>
    </w:pPr>
    <w:rPr>
      <w:b/>
      <w:noProof/>
      <w:sz w:val="24"/>
    </w:rPr>
  </w:style>
  <w:style w:type="paragraph" w:customStyle="1" w:styleId="CoverPreparedFor">
    <w:name w:val="CoverPreparedFor"/>
    <w:basedOn w:val="CoverClient"/>
    <w:next w:val="CoverTitle"/>
    <w:rsid w:val="0005736E"/>
    <w:pPr>
      <w:spacing w:before="2840"/>
      <w:ind w:left="1426"/>
    </w:pPr>
    <w:rPr>
      <w:sz w:val="32"/>
      <w:szCs w:val="32"/>
    </w:rPr>
  </w:style>
  <w:style w:type="paragraph" w:styleId="TOC2">
    <w:name w:val="toc 2"/>
    <w:basedOn w:val="Normal"/>
    <w:next w:val="Normal"/>
    <w:uiPriority w:val="39"/>
    <w:rsid w:val="007C76FD"/>
    <w:pPr>
      <w:tabs>
        <w:tab w:val="right" w:leader="dot" w:pos="9360"/>
      </w:tabs>
      <w:spacing w:after="80"/>
      <w:ind w:left="1170" w:right="720" w:hanging="630"/>
    </w:pPr>
    <w:rPr>
      <w:noProof/>
    </w:rPr>
  </w:style>
  <w:style w:type="paragraph" w:styleId="TOC3">
    <w:name w:val="toc 3"/>
    <w:basedOn w:val="Normal"/>
    <w:next w:val="Normal"/>
    <w:uiPriority w:val="39"/>
    <w:rsid w:val="007C76FD"/>
    <w:pPr>
      <w:tabs>
        <w:tab w:val="right" w:leader="dot" w:pos="9360"/>
      </w:tabs>
      <w:spacing w:after="80"/>
      <w:ind w:left="1980" w:right="720" w:hanging="810"/>
    </w:pPr>
    <w:rPr>
      <w:noProof/>
    </w:rPr>
  </w:style>
  <w:style w:type="paragraph" w:styleId="TOC4">
    <w:name w:val="toc 4"/>
    <w:basedOn w:val="Normal"/>
    <w:next w:val="Normal"/>
    <w:uiPriority w:val="39"/>
    <w:rsid w:val="00F90081"/>
    <w:pPr>
      <w:tabs>
        <w:tab w:val="right" w:leader="dot" w:pos="9360"/>
      </w:tabs>
      <w:spacing w:after="80"/>
      <w:ind w:left="2860" w:right="720" w:hanging="890"/>
    </w:pPr>
    <w:rPr>
      <w:noProof/>
    </w:rPr>
  </w:style>
  <w:style w:type="paragraph" w:styleId="TOC5">
    <w:name w:val="toc 5"/>
    <w:basedOn w:val="Normal"/>
    <w:next w:val="Normal"/>
    <w:uiPriority w:val="39"/>
    <w:rsid w:val="00C34E78"/>
    <w:pPr>
      <w:tabs>
        <w:tab w:val="left" w:pos="2160"/>
        <w:tab w:val="right" w:leader="dot" w:pos="9000"/>
      </w:tabs>
      <w:spacing w:after="80"/>
      <w:ind w:left="2160" w:hanging="1195"/>
    </w:pPr>
    <w:rPr>
      <w:noProof/>
    </w:rPr>
  </w:style>
  <w:style w:type="paragraph" w:styleId="TOC6">
    <w:name w:val="toc 6"/>
    <w:basedOn w:val="Normal"/>
    <w:next w:val="Normal"/>
    <w:uiPriority w:val="39"/>
    <w:rsid w:val="00C34E78"/>
    <w:pPr>
      <w:tabs>
        <w:tab w:val="left" w:pos="2610"/>
        <w:tab w:val="right" w:leader="dot" w:pos="9000"/>
      </w:tabs>
      <w:spacing w:after="80"/>
      <w:ind w:left="2606" w:hanging="1411"/>
    </w:pPr>
    <w:rPr>
      <w:noProof/>
    </w:rPr>
  </w:style>
  <w:style w:type="paragraph" w:styleId="TOC7">
    <w:name w:val="toc 7"/>
    <w:basedOn w:val="Normal"/>
    <w:next w:val="Normal"/>
    <w:uiPriority w:val="39"/>
    <w:rsid w:val="00C34E78"/>
    <w:pPr>
      <w:tabs>
        <w:tab w:val="left" w:pos="3060"/>
        <w:tab w:val="right" w:leader="dot" w:pos="9000"/>
      </w:tabs>
      <w:spacing w:after="80"/>
      <w:ind w:left="3067" w:hanging="1627"/>
    </w:pPr>
    <w:rPr>
      <w:noProof/>
    </w:rPr>
  </w:style>
  <w:style w:type="paragraph" w:styleId="TOC8">
    <w:name w:val="toc 8"/>
    <w:basedOn w:val="Normal"/>
    <w:next w:val="Normal"/>
    <w:uiPriority w:val="39"/>
    <w:rsid w:val="00C34E78"/>
    <w:pPr>
      <w:tabs>
        <w:tab w:val="left" w:pos="3510"/>
        <w:tab w:val="right" w:leader="dot" w:pos="9000"/>
      </w:tabs>
      <w:spacing w:after="80"/>
      <w:ind w:left="3514" w:hanging="1829"/>
    </w:pPr>
    <w:rPr>
      <w:noProof/>
    </w:rPr>
  </w:style>
  <w:style w:type="paragraph" w:styleId="TOC9">
    <w:name w:val="toc 9"/>
    <w:basedOn w:val="Normal"/>
    <w:next w:val="Normal"/>
    <w:uiPriority w:val="39"/>
    <w:rsid w:val="00C34E78"/>
    <w:pPr>
      <w:tabs>
        <w:tab w:val="left" w:pos="4050"/>
        <w:tab w:val="right" w:pos="9000"/>
      </w:tabs>
      <w:spacing w:after="80"/>
      <w:ind w:left="4061" w:hanging="2074"/>
    </w:pPr>
    <w:rPr>
      <w:noProof/>
    </w:rPr>
  </w:style>
  <w:style w:type="paragraph" w:customStyle="1" w:styleId="BioName-nopgbreak">
    <w:name w:val="BioName-no pg break"/>
    <w:basedOn w:val="Normal"/>
    <w:next w:val="Normal"/>
    <w:rsid w:val="00706056"/>
    <w:pPr>
      <w:pBdr>
        <w:bottom w:val="single" w:sz="6" w:space="0" w:color="auto"/>
      </w:pBdr>
      <w:spacing w:after="0"/>
    </w:pPr>
    <w:rPr>
      <w:b/>
      <w:sz w:val="24"/>
    </w:rPr>
  </w:style>
  <w:style w:type="paragraph" w:customStyle="1" w:styleId="BioTitle">
    <w:name w:val="BioTitle"/>
    <w:basedOn w:val="Normal"/>
    <w:next w:val="Normal"/>
    <w:rsid w:val="00706056"/>
    <w:pPr>
      <w:spacing w:after="240"/>
    </w:pPr>
    <w:rPr>
      <w:i/>
      <w:sz w:val="24"/>
    </w:rPr>
  </w:style>
  <w:style w:type="character" w:styleId="FollowedHyperlink">
    <w:name w:val="FollowedHyperlink"/>
    <w:rsid w:val="000542EC"/>
    <w:rPr>
      <w:color w:val="800080"/>
      <w:u w:val="single"/>
    </w:rPr>
  </w:style>
  <w:style w:type="character" w:styleId="Hyperlink">
    <w:name w:val="Hyperlink"/>
    <w:uiPriority w:val="99"/>
    <w:rsid w:val="000542EC"/>
    <w:rPr>
      <w:color w:val="0000FF"/>
      <w:u w:val="single"/>
    </w:rPr>
  </w:style>
  <w:style w:type="paragraph" w:customStyle="1" w:styleId="FigureNumberedList">
    <w:name w:val="Figure Numbered List"/>
    <w:basedOn w:val="Normal"/>
    <w:next w:val="Figure"/>
    <w:rsid w:val="00930092"/>
    <w:pPr>
      <w:keepNext/>
      <w:keepLines/>
      <w:numPr>
        <w:numId w:val="1"/>
      </w:numPr>
    </w:pPr>
    <w:rPr>
      <w:b/>
    </w:rPr>
  </w:style>
  <w:style w:type="paragraph" w:customStyle="1" w:styleId="TableNumberedList">
    <w:name w:val="Table Numbered List"/>
    <w:basedOn w:val="Normal"/>
    <w:next w:val="Normal"/>
    <w:rsid w:val="00044E97"/>
    <w:pPr>
      <w:keepNext/>
      <w:numPr>
        <w:numId w:val="6"/>
      </w:numPr>
      <w:spacing w:before="120"/>
    </w:pPr>
    <w:rPr>
      <w:b/>
    </w:rPr>
  </w:style>
  <w:style w:type="paragraph" w:customStyle="1" w:styleId="TableHeading">
    <w:name w:val="Table Heading"/>
    <w:basedOn w:val="Normal"/>
    <w:rsid w:val="000542EC"/>
    <w:pPr>
      <w:keepNext/>
      <w:spacing w:before="40" w:after="40"/>
      <w:jc w:val="center"/>
    </w:pPr>
    <w:rPr>
      <w:b/>
    </w:rPr>
  </w:style>
  <w:style w:type="numbering" w:customStyle="1" w:styleId="Headings">
    <w:name w:val="Headings"/>
    <w:basedOn w:val="NoList"/>
    <w:semiHidden/>
    <w:rsid w:val="00561B0F"/>
    <w:pPr>
      <w:numPr>
        <w:numId w:val="3"/>
      </w:numPr>
    </w:pPr>
  </w:style>
  <w:style w:type="paragraph" w:styleId="Header">
    <w:name w:val="header"/>
    <w:basedOn w:val="Normal"/>
    <w:link w:val="HeaderChar"/>
    <w:uiPriority w:val="99"/>
    <w:rsid w:val="00FF3FA2"/>
    <w:pPr>
      <w:spacing w:after="20"/>
      <w:jc w:val="right"/>
    </w:pPr>
    <w:rPr>
      <w:sz w:val="18"/>
    </w:rPr>
  </w:style>
  <w:style w:type="paragraph" w:customStyle="1" w:styleId="TableBullet3">
    <w:name w:val="Table Bullet3"/>
    <w:basedOn w:val="Normal"/>
    <w:rsid w:val="00A4360E"/>
    <w:pPr>
      <w:numPr>
        <w:ilvl w:val="4"/>
        <w:numId w:val="22"/>
      </w:numPr>
      <w:spacing w:before="40" w:after="40"/>
    </w:pPr>
  </w:style>
  <w:style w:type="paragraph" w:customStyle="1" w:styleId="SectionDivider">
    <w:name w:val="Section Divider"/>
    <w:basedOn w:val="Heading1"/>
    <w:link w:val="SectionDividerChar"/>
    <w:rsid w:val="00B3121E"/>
    <w:pPr>
      <w:keepLines/>
      <w:spacing w:before="2840" w:after="0"/>
      <w:ind w:left="1430" w:right="2520"/>
      <w:outlineLvl w:val="9"/>
    </w:pPr>
    <w:rPr>
      <w:snapToGrid w:val="0"/>
      <w:szCs w:val="32"/>
    </w:rPr>
  </w:style>
  <w:style w:type="paragraph" w:customStyle="1" w:styleId="bullet4">
    <w:name w:val="bullet 4"/>
    <w:basedOn w:val="Normal"/>
    <w:rsid w:val="00A4360E"/>
    <w:pPr>
      <w:numPr>
        <w:ilvl w:val="6"/>
        <w:numId w:val="21"/>
      </w:numPr>
    </w:pPr>
  </w:style>
  <w:style w:type="paragraph" w:customStyle="1" w:styleId="Emphasize">
    <w:name w:val="Emphasize"/>
    <w:basedOn w:val="Normal"/>
    <w:next w:val="Normal"/>
    <w:rsid w:val="000542EC"/>
    <w:pPr>
      <w:jc w:val="center"/>
    </w:pPr>
    <w:rPr>
      <w:b/>
      <w:snapToGrid w:val="0"/>
    </w:rPr>
  </w:style>
  <w:style w:type="paragraph" w:customStyle="1" w:styleId="bulletindent2">
    <w:name w:val="bullet indent 2"/>
    <w:basedOn w:val="bullet2"/>
    <w:rsid w:val="009C3601"/>
    <w:pPr>
      <w:numPr>
        <w:ilvl w:val="3"/>
      </w:numPr>
    </w:pPr>
  </w:style>
  <w:style w:type="paragraph" w:customStyle="1" w:styleId="bulletindent3">
    <w:name w:val="bullet indent 3"/>
    <w:basedOn w:val="bullet3"/>
    <w:rsid w:val="009C3601"/>
    <w:pPr>
      <w:numPr>
        <w:ilvl w:val="0"/>
        <w:numId w:val="0"/>
      </w:numPr>
    </w:pPr>
  </w:style>
  <w:style w:type="paragraph" w:customStyle="1" w:styleId="bulletindent4">
    <w:name w:val="bullet indent 4"/>
    <w:basedOn w:val="bullet4"/>
    <w:rsid w:val="00BD1E7F"/>
    <w:pPr>
      <w:numPr>
        <w:ilvl w:val="7"/>
      </w:numPr>
    </w:pPr>
  </w:style>
  <w:style w:type="paragraph" w:customStyle="1" w:styleId="Phase">
    <w:name w:val="Phase"/>
    <w:basedOn w:val="Normal"/>
    <w:next w:val="Normal"/>
    <w:rsid w:val="00706056"/>
    <w:pPr>
      <w:keepNext/>
      <w:numPr>
        <w:numId w:val="23"/>
      </w:numPr>
      <w:spacing w:before="240"/>
    </w:pPr>
    <w:rPr>
      <w:b/>
      <w:sz w:val="24"/>
    </w:rPr>
  </w:style>
  <w:style w:type="paragraph" w:customStyle="1" w:styleId="TableBullet4">
    <w:name w:val="Table Bullet4"/>
    <w:basedOn w:val="Normal"/>
    <w:rsid w:val="00A4360E"/>
    <w:pPr>
      <w:numPr>
        <w:ilvl w:val="6"/>
        <w:numId w:val="22"/>
      </w:numPr>
      <w:spacing w:before="40" w:after="40"/>
    </w:pPr>
    <w:rPr>
      <w:lang w:val="en-GB"/>
    </w:rPr>
  </w:style>
  <w:style w:type="numbering" w:customStyle="1" w:styleId="PhasesTasksSteps">
    <w:name w:val="Phases Tasks Steps"/>
    <w:basedOn w:val="NoList"/>
    <w:semiHidden/>
    <w:rsid w:val="00706056"/>
    <w:pPr>
      <w:numPr>
        <w:numId w:val="8"/>
      </w:numPr>
    </w:pPr>
  </w:style>
  <w:style w:type="paragraph" w:customStyle="1" w:styleId="Step">
    <w:name w:val="Step"/>
    <w:basedOn w:val="Normal"/>
    <w:next w:val="Normal"/>
    <w:rsid w:val="00076F3A"/>
    <w:pPr>
      <w:keepNext/>
      <w:numPr>
        <w:ilvl w:val="1"/>
        <w:numId w:val="23"/>
      </w:numPr>
      <w:spacing w:before="60" w:after="60"/>
    </w:pPr>
    <w:rPr>
      <w:b/>
      <w:i/>
      <w:color w:val="002856"/>
      <w:sz w:val="24"/>
    </w:rPr>
  </w:style>
  <w:style w:type="paragraph" w:customStyle="1" w:styleId="Num-Heading1">
    <w:name w:val="Num-Heading 1"/>
    <w:basedOn w:val="Normal"/>
    <w:next w:val="Normal"/>
    <w:link w:val="Num-Heading1Char"/>
    <w:qFormat/>
    <w:rsid w:val="00B501DF"/>
    <w:pPr>
      <w:keepNext/>
      <w:pageBreakBefore/>
      <w:numPr>
        <w:numId w:val="18"/>
      </w:numPr>
      <w:spacing w:before="240"/>
      <w:outlineLvl w:val="0"/>
    </w:pPr>
    <w:rPr>
      <w:rFonts w:ascii="Arial Black" w:hAnsi="Arial Black"/>
      <w:b/>
      <w:sz w:val="28"/>
    </w:rPr>
  </w:style>
  <w:style w:type="paragraph" w:customStyle="1" w:styleId="Num-Heading1-noTOC">
    <w:name w:val="Num-Heading 1-no TOC"/>
    <w:basedOn w:val="Num-Heading2-noTOC"/>
    <w:next w:val="Normal"/>
    <w:qFormat/>
    <w:rsid w:val="0005736E"/>
    <w:pPr>
      <w:numPr>
        <w:numId w:val="17"/>
      </w:numPr>
    </w:pPr>
  </w:style>
  <w:style w:type="paragraph" w:customStyle="1" w:styleId="Num-Heading2">
    <w:name w:val="Num-Heading 2"/>
    <w:basedOn w:val="Normal"/>
    <w:next w:val="Normal"/>
    <w:rsid w:val="00B501DF"/>
    <w:pPr>
      <w:keepNext/>
      <w:numPr>
        <w:numId w:val="24"/>
      </w:numPr>
      <w:spacing w:before="240"/>
      <w:ind w:left="360"/>
      <w:outlineLvl w:val="1"/>
    </w:pPr>
    <w:rPr>
      <w:rFonts w:ascii="Arial Black" w:hAnsi="Arial Black"/>
      <w:b/>
      <w:spacing w:val="10"/>
      <w:sz w:val="24"/>
    </w:rPr>
  </w:style>
  <w:style w:type="paragraph" w:customStyle="1" w:styleId="Num-Heading2-noTOC">
    <w:name w:val="Num-Heading 2-no TOC"/>
    <w:basedOn w:val="Num-Heading2"/>
    <w:rsid w:val="0005736E"/>
    <w:pPr>
      <w:outlineLvl w:val="9"/>
    </w:pPr>
  </w:style>
  <w:style w:type="paragraph" w:customStyle="1" w:styleId="Num-Heading3">
    <w:name w:val="Num-Heading 3"/>
    <w:basedOn w:val="Normal"/>
    <w:next w:val="Normal"/>
    <w:rsid w:val="00F1219A"/>
    <w:pPr>
      <w:keepNext/>
      <w:numPr>
        <w:numId w:val="59"/>
      </w:numPr>
      <w:spacing w:before="240"/>
      <w:ind w:left="360"/>
      <w:outlineLvl w:val="2"/>
    </w:pPr>
    <w:rPr>
      <w:rFonts w:ascii="Arial Black" w:hAnsi="Arial Black"/>
      <w:b/>
    </w:rPr>
  </w:style>
  <w:style w:type="paragraph" w:customStyle="1" w:styleId="Num-Heading3-noTOC">
    <w:name w:val="Num-Heading 3-no TOC"/>
    <w:basedOn w:val="Num-Heading3"/>
    <w:rsid w:val="0005736E"/>
    <w:pPr>
      <w:outlineLvl w:val="9"/>
    </w:pPr>
  </w:style>
  <w:style w:type="paragraph" w:customStyle="1" w:styleId="Num-Heading4">
    <w:name w:val="Num-Heading 4"/>
    <w:basedOn w:val="Normal"/>
    <w:next w:val="Normal"/>
    <w:rsid w:val="004A3B28"/>
    <w:pPr>
      <w:keepNext/>
      <w:numPr>
        <w:ilvl w:val="3"/>
        <w:numId w:val="18"/>
      </w:numPr>
      <w:spacing w:before="240"/>
      <w:outlineLvl w:val="3"/>
    </w:pPr>
    <w:rPr>
      <w:b/>
      <w:i/>
      <w:sz w:val="24"/>
      <w:lang w:val="en-GB"/>
    </w:rPr>
  </w:style>
  <w:style w:type="paragraph" w:customStyle="1" w:styleId="Num-Heading4-noTOC">
    <w:name w:val="Num-Heading 4-no TOC"/>
    <w:basedOn w:val="Num-Heading4"/>
    <w:rsid w:val="00B20189"/>
    <w:pPr>
      <w:numPr>
        <w:numId w:val="14"/>
      </w:numPr>
    </w:pPr>
  </w:style>
  <w:style w:type="paragraph" w:customStyle="1" w:styleId="Num-Heading5">
    <w:name w:val="Num-Heading 5"/>
    <w:basedOn w:val="Normal"/>
    <w:next w:val="Normal"/>
    <w:rsid w:val="004A3B28"/>
    <w:pPr>
      <w:keepNext/>
      <w:numPr>
        <w:ilvl w:val="4"/>
        <w:numId w:val="18"/>
      </w:numPr>
      <w:spacing w:before="240"/>
      <w:outlineLvl w:val="4"/>
    </w:pPr>
    <w:rPr>
      <w:b/>
      <w:i/>
      <w:sz w:val="24"/>
      <w:u w:val="single"/>
    </w:rPr>
  </w:style>
  <w:style w:type="paragraph" w:customStyle="1" w:styleId="TOCTitle">
    <w:name w:val="TOC Title"/>
    <w:basedOn w:val="Normal"/>
    <w:next w:val="Normal"/>
    <w:rsid w:val="00793A9A"/>
    <w:pPr>
      <w:keepNext/>
      <w:spacing w:before="240"/>
    </w:pPr>
    <w:rPr>
      <w:rFonts w:ascii="Arial Black" w:hAnsi="Arial Black"/>
      <w:b/>
      <w:sz w:val="32"/>
    </w:rPr>
  </w:style>
  <w:style w:type="paragraph" w:customStyle="1" w:styleId="Header-left">
    <w:name w:val="Header-left"/>
    <w:basedOn w:val="Normal"/>
    <w:rsid w:val="00ED030B"/>
    <w:pPr>
      <w:framePr w:w="3413" w:wrap="notBeside" w:vAnchor="page" w:hAnchor="page" w:x="1441" w:y="693"/>
      <w:spacing w:after="20"/>
    </w:pPr>
    <w:rPr>
      <w:sz w:val="16"/>
      <w:szCs w:val="16"/>
    </w:rPr>
  </w:style>
  <w:style w:type="paragraph" w:customStyle="1" w:styleId="Step2">
    <w:name w:val="Step 2"/>
    <w:basedOn w:val="Normal"/>
    <w:next w:val="Normal"/>
    <w:rsid w:val="00AD189E"/>
    <w:pPr>
      <w:keepNext/>
      <w:tabs>
        <w:tab w:val="num" w:pos="1080"/>
      </w:tabs>
      <w:spacing w:before="240"/>
      <w:ind w:left="1080" w:hanging="1080"/>
    </w:pPr>
    <w:rPr>
      <w:b/>
      <w:i/>
      <w:sz w:val="24"/>
    </w:rPr>
  </w:style>
  <w:style w:type="paragraph" w:customStyle="1" w:styleId="Heading1-noTOC">
    <w:name w:val="Heading 1-no TOC"/>
    <w:basedOn w:val="Normal"/>
    <w:next w:val="Normal"/>
    <w:rsid w:val="00793A9A"/>
    <w:pPr>
      <w:keepNext/>
      <w:pageBreakBefore/>
      <w:numPr>
        <w:numId w:val="16"/>
      </w:numPr>
      <w:spacing w:before="240"/>
    </w:pPr>
    <w:rPr>
      <w:rFonts w:ascii="Arial Black" w:hAnsi="Arial Black"/>
      <w:b/>
      <w:sz w:val="32"/>
    </w:rPr>
  </w:style>
  <w:style w:type="paragraph" w:customStyle="1" w:styleId="Heading2-noTOC">
    <w:name w:val="Heading 2-no TOC"/>
    <w:basedOn w:val="Normal"/>
    <w:next w:val="Normal"/>
    <w:rsid w:val="00793A9A"/>
    <w:pPr>
      <w:keepNext/>
      <w:numPr>
        <w:ilvl w:val="1"/>
        <w:numId w:val="16"/>
      </w:numPr>
      <w:spacing w:before="240"/>
    </w:pPr>
    <w:rPr>
      <w:rFonts w:ascii="Arial Black" w:hAnsi="Arial Black"/>
      <w:b/>
      <w:spacing w:val="10"/>
      <w:sz w:val="28"/>
    </w:rPr>
  </w:style>
  <w:style w:type="paragraph" w:customStyle="1" w:styleId="Heading3-noTOC">
    <w:name w:val="Heading 3-no TOC"/>
    <w:basedOn w:val="Normal"/>
    <w:next w:val="Normal"/>
    <w:rsid w:val="00793A9A"/>
    <w:pPr>
      <w:keepNext/>
      <w:numPr>
        <w:ilvl w:val="2"/>
        <w:numId w:val="16"/>
      </w:numPr>
      <w:spacing w:before="240"/>
    </w:pPr>
    <w:rPr>
      <w:rFonts w:ascii="Arial Black" w:hAnsi="Arial Black"/>
      <w:b/>
      <w:sz w:val="24"/>
    </w:rPr>
  </w:style>
  <w:style w:type="paragraph" w:customStyle="1" w:styleId="Normal-bold">
    <w:name w:val="Normal-bold"/>
    <w:basedOn w:val="Normal"/>
    <w:next w:val="Normal"/>
    <w:rsid w:val="00EB4CFA"/>
    <w:pPr>
      <w:keepNext/>
      <w:numPr>
        <w:ilvl w:val="2"/>
      </w:numPr>
    </w:pPr>
    <w:rPr>
      <w:b/>
    </w:rPr>
  </w:style>
  <w:style w:type="paragraph" w:customStyle="1" w:styleId="Normal-underline">
    <w:name w:val="Normal-underline"/>
    <w:basedOn w:val="Normal"/>
    <w:next w:val="Normal"/>
    <w:rsid w:val="0015739D"/>
    <w:pPr>
      <w:pBdr>
        <w:bottom w:val="single" w:sz="4" w:space="1" w:color="auto"/>
      </w:pBdr>
      <w:spacing w:before="240" w:after="0"/>
    </w:pPr>
  </w:style>
  <w:style w:type="paragraph" w:customStyle="1" w:styleId="SectionDivider-cell">
    <w:name w:val="Section Divider-cell"/>
    <w:basedOn w:val="Normal"/>
    <w:semiHidden/>
    <w:rsid w:val="005172A9"/>
    <w:pPr>
      <w:keepNext/>
      <w:keepLines/>
      <w:spacing w:after="0"/>
    </w:pPr>
    <w:rPr>
      <w:snapToGrid w:val="0"/>
    </w:rPr>
  </w:style>
  <w:style w:type="paragraph" w:customStyle="1" w:styleId="Deliverables">
    <w:name w:val="Deliverables"/>
    <w:basedOn w:val="Heading7"/>
    <w:next w:val="Normal"/>
    <w:rsid w:val="00706056"/>
    <w:pPr>
      <w:numPr>
        <w:ilvl w:val="3"/>
        <w:numId w:val="9"/>
      </w:numPr>
    </w:pPr>
  </w:style>
  <w:style w:type="paragraph" w:customStyle="1" w:styleId="Deliverables2">
    <w:name w:val="Deliverables 2"/>
    <w:basedOn w:val="Heading7"/>
    <w:next w:val="Normal"/>
    <w:semiHidden/>
    <w:rsid w:val="00706056"/>
    <w:pPr>
      <w:numPr>
        <w:numId w:val="9"/>
      </w:numPr>
    </w:pPr>
  </w:style>
  <w:style w:type="paragraph" w:customStyle="1" w:styleId="Normal-5pt">
    <w:name w:val="Normal-5 pt"/>
    <w:basedOn w:val="Normal"/>
    <w:semiHidden/>
    <w:rsid w:val="000542EC"/>
    <w:rPr>
      <w:sz w:val="10"/>
    </w:rPr>
  </w:style>
  <w:style w:type="paragraph" w:customStyle="1" w:styleId="TableBullet2">
    <w:name w:val="Table Bullet2"/>
    <w:basedOn w:val="Normal"/>
    <w:rsid w:val="00A4360E"/>
    <w:pPr>
      <w:numPr>
        <w:ilvl w:val="2"/>
        <w:numId w:val="22"/>
      </w:numPr>
      <w:spacing w:before="40" w:after="40"/>
    </w:pPr>
  </w:style>
  <w:style w:type="paragraph" w:customStyle="1" w:styleId="Header-right">
    <w:name w:val="Header-right"/>
    <w:basedOn w:val="Normal"/>
    <w:rsid w:val="00F7597B"/>
    <w:pPr>
      <w:spacing w:after="20"/>
      <w:jc w:val="right"/>
    </w:pPr>
    <w:rPr>
      <w:sz w:val="16"/>
      <w:szCs w:val="16"/>
    </w:rPr>
  </w:style>
  <w:style w:type="paragraph" w:customStyle="1" w:styleId="Task">
    <w:name w:val="Task"/>
    <w:basedOn w:val="Normal"/>
    <w:next w:val="Normal"/>
    <w:rsid w:val="00706056"/>
    <w:pPr>
      <w:keepNext/>
      <w:numPr>
        <w:ilvl w:val="2"/>
        <w:numId w:val="23"/>
      </w:numPr>
      <w:spacing w:before="240"/>
    </w:pPr>
    <w:rPr>
      <w:b/>
      <w:i/>
      <w:sz w:val="24"/>
    </w:rPr>
  </w:style>
  <w:style w:type="paragraph" w:customStyle="1" w:styleId="TableTextRight">
    <w:name w:val="Table Text Right"/>
    <w:basedOn w:val="Normal"/>
    <w:rsid w:val="000D3667"/>
    <w:pPr>
      <w:spacing w:before="40" w:after="40"/>
      <w:jc w:val="right"/>
    </w:pPr>
  </w:style>
  <w:style w:type="paragraph" w:customStyle="1" w:styleId="Num-Heading6">
    <w:name w:val="Num-Heading 6"/>
    <w:basedOn w:val="Normal"/>
    <w:next w:val="Normal"/>
    <w:rsid w:val="004A3B28"/>
    <w:pPr>
      <w:keepNext/>
      <w:numPr>
        <w:ilvl w:val="5"/>
        <w:numId w:val="18"/>
      </w:numPr>
      <w:spacing w:before="240"/>
      <w:outlineLvl w:val="5"/>
    </w:pPr>
    <w:rPr>
      <w:sz w:val="24"/>
    </w:rPr>
  </w:style>
  <w:style w:type="paragraph" w:customStyle="1" w:styleId="NumberedList">
    <w:name w:val="Numbered List"/>
    <w:basedOn w:val="Normal"/>
    <w:semiHidden/>
    <w:rsid w:val="00F56D6B"/>
    <w:pPr>
      <w:numPr>
        <w:numId w:val="7"/>
      </w:numPr>
    </w:pPr>
    <w:rPr>
      <w:rFonts w:eastAsia="MS Mincho" w:cs="Times New Roman"/>
      <w:szCs w:val="20"/>
    </w:rPr>
  </w:style>
  <w:style w:type="paragraph" w:customStyle="1" w:styleId="NumberedList9">
    <w:name w:val="Numbered List 9"/>
    <w:basedOn w:val="Normal"/>
    <w:rsid w:val="00F56D6B"/>
    <w:pPr>
      <w:numPr>
        <w:ilvl w:val="8"/>
        <w:numId w:val="2"/>
      </w:numPr>
    </w:pPr>
  </w:style>
  <w:style w:type="paragraph" w:styleId="TableofFigures">
    <w:name w:val="table of figures"/>
    <w:aliases w:val="Table of Figures-A4"/>
    <w:basedOn w:val="Normal"/>
    <w:next w:val="Normal"/>
    <w:uiPriority w:val="99"/>
    <w:rsid w:val="009F77B4"/>
    <w:pPr>
      <w:tabs>
        <w:tab w:val="left" w:pos="1710"/>
        <w:tab w:val="right" w:leader="dot" w:pos="9350"/>
      </w:tabs>
      <w:ind w:left="1253" w:right="720" w:hanging="1253"/>
    </w:pPr>
    <w:rPr>
      <w:noProof/>
      <w:snapToGrid w:val="0"/>
    </w:rPr>
  </w:style>
  <w:style w:type="paragraph" w:customStyle="1" w:styleId="bullet5">
    <w:name w:val="bullet 5"/>
    <w:basedOn w:val="Normal"/>
    <w:rsid w:val="00BD1E7F"/>
    <w:pPr>
      <w:numPr>
        <w:ilvl w:val="8"/>
        <w:numId w:val="21"/>
      </w:numPr>
    </w:pPr>
  </w:style>
  <w:style w:type="numbering" w:customStyle="1" w:styleId="Bullets">
    <w:name w:val="Bullets"/>
    <w:basedOn w:val="NoList"/>
    <w:rsid w:val="00BD1E7F"/>
    <w:pPr>
      <w:numPr>
        <w:numId w:val="19"/>
      </w:numPr>
    </w:pPr>
  </w:style>
  <w:style w:type="paragraph" w:customStyle="1" w:styleId="bullet6">
    <w:name w:val="bullet 6"/>
    <w:basedOn w:val="Normal"/>
    <w:rsid w:val="009C3601"/>
    <w:pPr>
      <w:numPr>
        <w:numId w:val="10"/>
      </w:numPr>
    </w:pPr>
  </w:style>
  <w:style w:type="paragraph" w:customStyle="1" w:styleId="bullet7">
    <w:name w:val="bullet 7"/>
    <w:basedOn w:val="bullet6"/>
    <w:rsid w:val="009C3601"/>
    <w:pPr>
      <w:numPr>
        <w:ilvl w:val="1"/>
      </w:numPr>
    </w:pPr>
  </w:style>
  <w:style w:type="paragraph" w:customStyle="1" w:styleId="bullet8">
    <w:name w:val="bullet 8"/>
    <w:basedOn w:val="Normal"/>
    <w:rsid w:val="009C3601"/>
    <w:pPr>
      <w:numPr>
        <w:ilvl w:val="2"/>
        <w:numId w:val="10"/>
      </w:numPr>
    </w:pPr>
  </w:style>
  <w:style w:type="paragraph" w:customStyle="1" w:styleId="bullet9">
    <w:name w:val="bullet 9"/>
    <w:basedOn w:val="bullet8"/>
    <w:rsid w:val="009C3601"/>
    <w:pPr>
      <w:numPr>
        <w:ilvl w:val="3"/>
      </w:numPr>
    </w:pPr>
  </w:style>
  <w:style w:type="paragraph" w:customStyle="1" w:styleId="NumberedList2">
    <w:name w:val="Numbered List 2"/>
    <w:basedOn w:val="Normal"/>
    <w:rsid w:val="00F56D6B"/>
    <w:pPr>
      <w:numPr>
        <w:ilvl w:val="1"/>
        <w:numId w:val="2"/>
      </w:numPr>
    </w:pPr>
  </w:style>
  <w:style w:type="paragraph" w:customStyle="1" w:styleId="NumberedList3">
    <w:name w:val="Numbered List 3"/>
    <w:basedOn w:val="Normal"/>
    <w:rsid w:val="00F56D6B"/>
    <w:pPr>
      <w:numPr>
        <w:ilvl w:val="2"/>
        <w:numId w:val="2"/>
      </w:numPr>
    </w:pPr>
  </w:style>
  <w:style w:type="paragraph" w:customStyle="1" w:styleId="NumberedList4">
    <w:name w:val="Numbered List 4"/>
    <w:basedOn w:val="Normal"/>
    <w:rsid w:val="00F56D6B"/>
    <w:pPr>
      <w:numPr>
        <w:ilvl w:val="3"/>
        <w:numId w:val="2"/>
      </w:numPr>
    </w:pPr>
  </w:style>
  <w:style w:type="paragraph" w:customStyle="1" w:styleId="NumberedList5">
    <w:name w:val="Numbered List 5"/>
    <w:basedOn w:val="Normal"/>
    <w:rsid w:val="00F56D6B"/>
    <w:pPr>
      <w:numPr>
        <w:ilvl w:val="4"/>
        <w:numId w:val="2"/>
      </w:numPr>
    </w:pPr>
  </w:style>
  <w:style w:type="paragraph" w:customStyle="1" w:styleId="NumberedList6">
    <w:name w:val="Numbered List 6"/>
    <w:basedOn w:val="Normal"/>
    <w:rsid w:val="00F56D6B"/>
    <w:pPr>
      <w:numPr>
        <w:ilvl w:val="5"/>
        <w:numId w:val="2"/>
      </w:numPr>
    </w:pPr>
  </w:style>
  <w:style w:type="paragraph" w:customStyle="1" w:styleId="NumberedList7">
    <w:name w:val="Numbered List 7"/>
    <w:basedOn w:val="Normal"/>
    <w:rsid w:val="00F56D6B"/>
    <w:pPr>
      <w:numPr>
        <w:ilvl w:val="6"/>
        <w:numId w:val="2"/>
      </w:numPr>
    </w:pPr>
  </w:style>
  <w:style w:type="paragraph" w:customStyle="1" w:styleId="NumberedList8">
    <w:name w:val="Numbered List 8"/>
    <w:basedOn w:val="Normal"/>
    <w:rsid w:val="00F56D6B"/>
    <w:pPr>
      <w:numPr>
        <w:ilvl w:val="7"/>
        <w:numId w:val="2"/>
      </w:numPr>
    </w:pPr>
  </w:style>
  <w:style w:type="numbering" w:customStyle="1" w:styleId="NumberedLists">
    <w:name w:val="Numbered Lists"/>
    <w:basedOn w:val="NoList"/>
    <w:semiHidden/>
    <w:rsid w:val="008604ED"/>
    <w:pPr>
      <w:numPr>
        <w:numId w:val="2"/>
      </w:numPr>
    </w:pPr>
  </w:style>
  <w:style w:type="paragraph" w:customStyle="1" w:styleId="NumberedList1">
    <w:name w:val="Numbered List 1"/>
    <w:basedOn w:val="Normal"/>
    <w:rsid w:val="00F56D6B"/>
    <w:pPr>
      <w:numPr>
        <w:numId w:val="2"/>
      </w:numPr>
    </w:pPr>
  </w:style>
  <w:style w:type="paragraph" w:customStyle="1" w:styleId="Heading4-noTOC">
    <w:name w:val="Heading 4-no TOC"/>
    <w:basedOn w:val="Normal"/>
    <w:next w:val="Normal"/>
    <w:rsid w:val="0047083A"/>
    <w:pPr>
      <w:keepNext/>
      <w:numPr>
        <w:ilvl w:val="3"/>
        <w:numId w:val="16"/>
      </w:numPr>
      <w:spacing w:before="240"/>
    </w:pPr>
    <w:rPr>
      <w:b/>
      <w:i/>
      <w:sz w:val="24"/>
    </w:rPr>
  </w:style>
  <w:style w:type="paragraph" w:customStyle="1" w:styleId="Num-Heading7">
    <w:name w:val="Num-Heading 7"/>
    <w:basedOn w:val="Normal"/>
    <w:next w:val="Normal"/>
    <w:rsid w:val="004A3B28"/>
    <w:pPr>
      <w:keepNext/>
      <w:numPr>
        <w:ilvl w:val="6"/>
        <w:numId w:val="18"/>
      </w:numPr>
      <w:spacing w:before="240"/>
      <w:outlineLvl w:val="6"/>
    </w:pPr>
    <w:rPr>
      <w:i/>
      <w:sz w:val="24"/>
    </w:rPr>
  </w:style>
  <w:style w:type="character" w:styleId="Emphasis">
    <w:name w:val="Emphasis"/>
    <w:basedOn w:val="DefaultParagraphFont"/>
    <w:qFormat/>
    <w:rsid w:val="008B1A2F"/>
    <w:rPr>
      <w:i/>
      <w:iCs/>
    </w:rPr>
  </w:style>
  <w:style w:type="paragraph" w:customStyle="1" w:styleId="Heading5-noTOC">
    <w:name w:val="Heading 5-no TOC"/>
    <w:basedOn w:val="Normal"/>
    <w:next w:val="Normal"/>
    <w:semiHidden/>
    <w:rsid w:val="008A13CA"/>
    <w:pPr>
      <w:keepNext/>
      <w:numPr>
        <w:ilvl w:val="4"/>
        <w:numId w:val="16"/>
      </w:numPr>
      <w:spacing w:before="240"/>
    </w:pPr>
    <w:rPr>
      <w:b/>
      <w:i/>
      <w:sz w:val="24"/>
      <w:u w:val="single"/>
    </w:rPr>
  </w:style>
  <w:style w:type="paragraph" w:customStyle="1" w:styleId="Heading6-noTOC">
    <w:name w:val="Heading 6-no TOC"/>
    <w:basedOn w:val="Normal"/>
    <w:next w:val="Normal"/>
    <w:semiHidden/>
    <w:rsid w:val="008A13CA"/>
    <w:pPr>
      <w:keepNext/>
      <w:numPr>
        <w:ilvl w:val="5"/>
        <w:numId w:val="16"/>
      </w:numPr>
      <w:spacing w:before="240"/>
    </w:pPr>
    <w:rPr>
      <w:sz w:val="24"/>
    </w:rPr>
  </w:style>
  <w:style w:type="paragraph" w:customStyle="1" w:styleId="Heading7-noTOC">
    <w:name w:val="Heading 7-no TOC"/>
    <w:basedOn w:val="Normal"/>
    <w:next w:val="Normal"/>
    <w:semiHidden/>
    <w:rsid w:val="008A13CA"/>
    <w:pPr>
      <w:keepNext/>
      <w:numPr>
        <w:ilvl w:val="6"/>
        <w:numId w:val="16"/>
      </w:numPr>
      <w:spacing w:before="240"/>
    </w:pPr>
    <w:rPr>
      <w:i/>
    </w:rPr>
  </w:style>
  <w:style w:type="paragraph" w:customStyle="1" w:styleId="Heading8-noTOC">
    <w:name w:val="Heading 8-no TOC"/>
    <w:basedOn w:val="Normal"/>
    <w:next w:val="Normal"/>
    <w:semiHidden/>
    <w:rsid w:val="008A13CA"/>
    <w:pPr>
      <w:keepNext/>
      <w:numPr>
        <w:ilvl w:val="7"/>
        <w:numId w:val="16"/>
      </w:numPr>
      <w:spacing w:before="240"/>
    </w:pPr>
    <w:rPr>
      <w:i/>
      <w:sz w:val="24"/>
      <w:u w:val="single"/>
    </w:rPr>
  </w:style>
  <w:style w:type="paragraph" w:customStyle="1" w:styleId="Heading9-noTOC">
    <w:name w:val="Heading 9-no TOC"/>
    <w:basedOn w:val="Normal"/>
    <w:next w:val="Normal"/>
    <w:semiHidden/>
    <w:rsid w:val="008A13CA"/>
    <w:pPr>
      <w:keepNext/>
      <w:numPr>
        <w:ilvl w:val="8"/>
        <w:numId w:val="16"/>
      </w:numPr>
      <w:spacing w:before="240"/>
    </w:pPr>
    <w:rPr>
      <w:b/>
    </w:rPr>
  </w:style>
  <w:style w:type="numbering" w:customStyle="1" w:styleId="Headings-noTOC">
    <w:name w:val="Headings-no TOC"/>
    <w:basedOn w:val="NoList"/>
    <w:semiHidden/>
    <w:rsid w:val="008A13CA"/>
    <w:pPr>
      <w:numPr>
        <w:numId w:val="4"/>
      </w:numPr>
    </w:pPr>
  </w:style>
  <w:style w:type="paragraph" w:customStyle="1" w:styleId="Num-Heading8">
    <w:name w:val="Num-Heading 8"/>
    <w:basedOn w:val="Normal"/>
    <w:next w:val="Normal"/>
    <w:rsid w:val="004A3B28"/>
    <w:pPr>
      <w:keepNext/>
      <w:numPr>
        <w:ilvl w:val="7"/>
        <w:numId w:val="18"/>
      </w:numPr>
      <w:spacing w:before="240"/>
      <w:outlineLvl w:val="7"/>
    </w:pPr>
    <w:rPr>
      <w:i/>
      <w:sz w:val="24"/>
      <w:u w:val="single"/>
    </w:rPr>
  </w:style>
  <w:style w:type="paragraph" w:customStyle="1" w:styleId="bullet10">
    <w:name w:val="bullet 10"/>
    <w:basedOn w:val="Normal"/>
    <w:rsid w:val="009C3601"/>
    <w:pPr>
      <w:numPr>
        <w:ilvl w:val="4"/>
        <w:numId w:val="10"/>
      </w:numPr>
    </w:pPr>
  </w:style>
  <w:style w:type="paragraph" w:customStyle="1" w:styleId="bullet11">
    <w:name w:val="bullet 11"/>
    <w:basedOn w:val="bullet10"/>
    <w:rsid w:val="009C3601"/>
    <w:pPr>
      <w:numPr>
        <w:ilvl w:val="5"/>
      </w:numPr>
    </w:pPr>
  </w:style>
  <w:style w:type="paragraph" w:customStyle="1" w:styleId="bullet12">
    <w:name w:val="bullet 12"/>
    <w:basedOn w:val="Normal"/>
    <w:rsid w:val="009C3601"/>
    <w:pPr>
      <w:numPr>
        <w:ilvl w:val="6"/>
        <w:numId w:val="10"/>
      </w:numPr>
    </w:pPr>
  </w:style>
  <w:style w:type="paragraph" w:customStyle="1" w:styleId="bullet13">
    <w:name w:val="bullet 13"/>
    <w:basedOn w:val="bullet12"/>
    <w:rsid w:val="009C3601"/>
    <w:pPr>
      <w:numPr>
        <w:ilvl w:val="7"/>
      </w:numPr>
    </w:pPr>
  </w:style>
  <w:style w:type="paragraph" w:customStyle="1" w:styleId="bullet14">
    <w:name w:val="bullet 14"/>
    <w:basedOn w:val="bullet5"/>
    <w:rsid w:val="009C3601"/>
    <w:pPr>
      <w:numPr>
        <w:numId w:val="10"/>
      </w:numPr>
    </w:pPr>
  </w:style>
  <w:style w:type="numbering" w:customStyle="1" w:styleId="Bullets2">
    <w:name w:val="Bullets 2"/>
    <w:basedOn w:val="NoList"/>
    <w:semiHidden/>
    <w:rsid w:val="009C3601"/>
    <w:pPr>
      <w:numPr>
        <w:numId w:val="12"/>
      </w:numPr>
    </w:pPr>
  </w:style>
  <w:style w:type="paragraph" w:customStyle="1" w:styleId="TableBullet1indent">
    <w:name w:val="Table Bullet1 indent"/>
    <w:basedOn w:val="Normal"/>
    <w:rsid w:val="00A4360E"/>
    <w:pPr>
      <w:numPr>
        <w:ilvl w:val="1"/>
        <w:numId w:val="22"/>
      </w:numPr>
      <w:spacing w:before="40" w:after="40"/>
    </w:pPr>
    <w:rPr>
      <w:lang w:val="en-GB"/>
    </w:rPr>
  </w:style>
  <w:style w:type="paragraph" w:customStyle="1" w:styleId="TableBullet2indent">
    <w:name w:val="Table Bullet2 indent"/>
    <w:basedOn w:val="Normal"/>
    <w:rsid w:val="00A4360E"/>
    <w:pPr>
      <w:numPr>
        <w:ilvl w:val="3"/>
        <w:numId w:val="22"/>
      </w:numPr>
      <w:spacing w:before="40" w:after="40"/>
    </w:pPr>
    <w:rPr>
      <w:lang w:val="en-GB"/>
    </w:rPr>
  </w:style>
  <w:style w:type="paragraph" w:customStyle="1" w:styleId="TableBullet3indent">
    <w:name w:val="Table Bullet3 indent"/>
    <w:basedOn w:val="Normal"/>
    <w:rsid w:val="00A4360E"/>
    <w:pPr>
      <w:numPr>
        <w:ilvl w:val="5"/>
        <w:numId w:val="22"/>
      </w:numPr>
      <w:spacing w:before="40" w:after="40"/>
    </w:pPr>
    <w:rPr>
      <w:lang w:val="en-GB"/>
    </w:rPr>
  </w:style>
  <w:style w:type="paragraph" w:customStyle="1" w:styleId="TableBullet4indent">
    <w:name w:val="Table Bullet4 indent"/>
    <w:basedOn w:val="Normal"/>
    <w:rsid w:val="00A4360E"/>
    <w:pPr>
      <w:numPr>
        <w:ilvl w:val="7"/>
        <w:numId w:val="22"/>
      </w:numPr>
      <w:spacing w:before="40" w:after="40"/>
    </w:pPr>
    <w:rPr>
      <w:lang w:val="en-GB"/>
    </w:rPr>
  </w:style>
  <w:style w:type="paragraph" w:customStyle="1" w:styleId="TableBullet5">
    <w:name w:val="Table Bullet5"/>
    <w:basedOn w:val="Normal"/>
    <w:rsid w:val="00A4360E"/>
    <w:pPr>
      <w:numPr>
        <w:ilvl w:val="8"/>
        <w:numId w:val="22"/>
      </w:numPr>
      <w:spacing w:before="40" w:after="40"/>
    </w:pPr>
    <w:rPr>
      <w:lang w:val="en-GB"/>
    </w:rPr>
  </w:style>
  <w:style w:type="numbering" w:customStyle="1" w:styleId="TableBullets">
    <w:name w:val="Table Bullets"/>
    <w:basedOn w:val="NoList"/>
    <w:rsid w:val="00A4360E"/>
    <w:pPr>
      <w:numPr>
        <w:numId w:val="22"/>
      </w:numPr>
    </w:pPr>
  </w:style>
  <w:style w:type="paragraph" w:customStyle="1" w:styleId="TableBullet6">
    <w:name w:val="Table Bullet6"/>
    <w:basedOn w:val="Normal"/>
    <w:rsid w:val="00BF7B73"/>
    <w:pPr>
      <w:numPr>
        <w:numId w:val="5"/>
      </w:numPr>
      <w:spacing w:before="40" w:after="40"/>
    </w:pPr>
  </w:style>
  <w:style w:type="paragraph" w:customStyle="1" w:styleId="TableBullet7">
    <w:name w:val="Table Bullet7"/>
    <w:basedOn w:val="TableBullet6"/>
    <w:rsid w:val="00664BB2"/>
    <w:pPr>
      <w:numPr>
        <w:ilvl w:val="1"/>
      </w:numPr>
    </w:pPr>
  </w:style>
  <w:style w:type="paragraph" w:customStyle="1" w:styleId="TableBullet8">
    <w:name w:val="Table Bullet8"/>
    <w:basedOn w:val="Normal"/>
    <w:rsid w:val="00BF7B73"/>
    <w:pPr>
      <w:numPr>
        <w:ilvl w:val="2"/>
        <w:numId w:val="5"/>
      </w:numPr>
      <w:spacing w:before="40" w:after="40"/>
    </w:pPr>
  </w:style>
  <w:style w:type="paragraph" w:customStyle="1" w:styleId="TableBullet9">
    <w:name w:val="Table Bullet9"/>
    <w:basedOn w:val="TableBullet8"/>
    <w:rsid w:val="00664BB2"/>
    <w:pPr>
      <w:numPr>
        <w:ilvl w:val="3"/>
      </w:numPr>
    </w:pPr>
  </w:style>
  <w:style w:type="paragraph" w:customStyle="1" w:styleId="TableBullet10">
    <w:name w:val="Table Bullet10"/>
    <w:basedOn w:val="Normal"/>
    <w:rsid w:val="00BF7B73"/>
    <w:pPr>
      <w:numPr>
        <w:ilvl w:val="4"/>
        <w:numId w:val="5"/>
      </w:numPr>
      <w:spacing w:before="40" w:after="40"/>
    </w:pPr>
  </w:style>
  <w:style w:type="paragraph" w:customStyle="1" w:styleId="TableBullet11">
    <w:name w:val="Table Bullet11"/>
    <w:basedOn w:val="TableBullet10"/>
    <w:rsid w:val="00664BB2"/>
    <w:pPr>
      <w:numPr>
        <w:ilvl w:val="5"/>
      </w:numPr>
    </w:pPr>
  </w:style>
  <w:style w:type="paragraph" w:customStyle="1" w:styleId="TableBullet12">
    <w:name w:val="Table Bullet12"/>
    <w:basedOn w:val="Normal"/>
    <w:rsid w:val="00BF7B73"/>
    <w:pPr>
      <w:numPr>
        <w:ilvl w:val="6"/>
        <w:numId w:val="5"/>
      </w:numPr>
      <w:spacing w:before="40" w:after="40"/>
    </w:pPr>
  </w:style>
  <w:style w:type="paragraph" w:customStyle="1" w:styleId="TableBullet13">
    <w:name w:val="Table Bullet13"/>
    <w:basedOn w:val="TableBullet12"/>
    <w:rsid w:val="00664BB2"/>
    <w:pPr>
      <w:numPr>
        <w:ilvl w:val="7"/>
      </w:numPr>
    </w:pPr>
  </w:style>
  <w:style w:type="paragraph" w:customStyle="1" w:styleId="TableBullet14">
    <w:name w:val="Table Bullet14"/>
    <w:basedOn w:val="Normal"/>
    <w:rsid w:val="00BF7B73"/>
    <w:pPr>
      <w:numPr>
        <w:ilvl w:val="8"/>
        <w:numId w:val="5"/>
      </w:numPr>
      <w:spacing w:before="40" w:after="40"/>
    </w:pPr>
  </w:style>
  <w:style w:type="numbering" w:customStyle="1" w:styleId="TableBullets2">
    <w:name w:val="Table Bullets 2"/>
    <w:basedOn w:val="NoList"/>
    <w:semiHidden/>
    <w:rsid w:val="00664BB2"/>
    <w:pPr>
      <w:numPr>
        <w:numId w:val="5"/>
      </w:numPr>
    </w:pPr>
  </w:style>
  <w:style w:type="table" w:customStyle="1" w:styleId="TableStyle-RowGrey">
    <w:name w:val="Table Style-Row Grey"/>
    <w:basedOn w:val="TableNormal"/>
    <w:rsid w:val="00680DB3"/>
    <w:pPr>
      <w:jc w:val="center"/>
    </w:pPr>
    <w:rPr>
      <w:rFonts w:ascii="Arial" w:hAnsi="Arial"/>
    </w:rPr>
    <w:tblPr>
      <w:tblStyleRowBandSize w:val="1"/>
    </w:tblPr>
    <w:tcPr>
      <w:vAlign w:val="center"/>
    </w:tcPr>
    <w:tblStylePr w:type="firstRow">
      <w:pPr>
        <w:jc w:val="center"/>
      </w:pPr>
      <w:rPr>
        <w:rFonts w:ascii="Arial" w:hAnsi="Arial"/>
        <w:b/>
        <w:sz w:val="20"/>
      </w:rPr>
      <w:tblPr/>
      <w:trPr>
        <w:tblHeader/>
      </w:trPr>
      <w:tcPr>
        <w:vAlign w:val="bottom"/>
      </w:tcPr>
    </w:tblStylePr>
    <w:tblStylePr w:type="firstCol">
      <w:pPr>
        <w:jc w:val="center"/>
      </w:pPr>
      <w:tblPr/>
      <w:tcPr>
        <w:vAlign w:val="center"/>
      </w:tcPr>
    </w:tblStylePr>
    <w:tblStylePr w:type="band1Horz">
      <w:pPr>
        <w:jc w:val="center"/>
      </w:pPr>
      <w:tblPr/>
      <w:tcPr>
        <w:shd w:val="clear" w:color="auto" w:fill="C0C0C0"/>
        <w:vAlign w:val="center"/>
      </w:tcPr>
    </w:tblStylePr>
    <w:tblStylePr w:type="band2Horz">
      <w:pPr>
        <w:jc w:val="center"/>
      </w:pPr>
      <w:tblPr/>
      <w:tcPr>
        <w:vAlign w:val="center"/>
      </w:tcPr>
    </w:tblStylePr>
  </w:style>
  <w:style w:type="character" w:customStyle="1" w:styleId="Redtext">
    <w:name w:val="Red text"/>
    <w:basedOn w:val="DefaultParagraphFont"/>
    <w:rsid w:val="008B1A2F"/>
    <w:rPr>
      <w:color w:val="FF0000"/>
    </w:rPr>
  </w:style>
  <w:style w:type="paragraph" w:customStyle="1" w:styleId="Task2">
    <w:name w:val="Task 2"/>
    <w:basedOn w:val="Normal"/>
    <w:next w:val="Normal"/>
    <w:rsid w:val="00706056"/>
    <w:pPr>
      <w:keepNext/>
      <w:numPr>
        <w:ilvl w:val="5"/>
        <w:numId w:val="9"/>
      </w:numPr>
      <w:spacing w:before="240"/>
    </w:pPr>
    <w:rPr>
      <w:sz w:val="24"/>
    </w:rPr>
  </w:style>
  <w:style w:type="character" w:styleId="Strong">
    <w:name w:val="Strong"/>
    <w:basedOn w:val="DefaultParagraphFont"/>
    <w:qFormat/>
    <w:rsid w:val="008B1A2F"/>
    <w:rPr>
      <w:b/>
      <w:bCs/>
    </w:rPr>
  </w:style>
  <w:style w:type="table" w:customStyle="1" w:styleId="TableStyleBlack">
    <w:name w:val="Table Style Black"/>
    <w:basedOn w:val="TableNormal"/>
    <w:rsid w:val="00680DB3"/>
    <w:rPr>
      <w:rFonts w:ascii="Arial" w:hAnsi="Arial"/>
    </w:rPr>
    <w:tblP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
    <w:tblStylePr w:type="firstRow">
      <w:pPr>
        <w:jc w:val="center"/>
      </w:pPr>
      <w:rPr>
        <w:rFonts w:ascii="Arial" w:hAnsi="Arial"/>
        <w:b/>
        <w:sz w:val="20"/>
      </w:rPr>
      <w:tblPr/>
      <w:trPr>
        <w:tblHeader/>
      </w:trPr>
      <w:tcPr>
        <w:shd w:val="clear" w:color="auto" w:fill="000000"/>
        <w:vAlign w:val="bottom"/>
      </w:tcPr>
    </w:tblStylePr>
    <w:tblStylePr w:type="firstCol">
      <w:pPr>
        <w:jc w:val="left"/>
      </w:pPr>
      <w:tblPr/>
      <w:tcPr>
        <w:vAlign w:val="center"/>
      </w:tcPr>
    </w:tblStylePr>
  </w:style>
  <w:style w:type="table" w:customStyle="1" w:styleId="TableStyleDarkBlue">
    <w:name w:val="Table Style Dark Blue"/>
    <w:basedOn w:val="TableNormal"/>
    <w:rsid w:val="005251B8"/>
    <w:rPr>
      <w:rFonts w:ascii="Arial" w:hAnsi="Arial"/>
    </w:rPr>
    <w:tblP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
    <w:trPr>
      <w:cantSplit/>
    </w:trPr>
    <w:tcPr>
      <w:vAlign w:val="center"/>
    </w:tcPr>
    <w:tblStylePr w:type="firstRow">
      <w:pPr>
        <w:jc w:val="center"/>
      </w:pPr>
      <w:rPr>
        <w:rFonts w:ascii="Arial" w:hAnsi="Arial"/>
        <w:b/>
        <w:i w:val="0"/>
        <w:color w:val="FFFFFF" w:themeColor="background1"/>
        <w:sz w:val="20"/>
      </w:rPr>
      <w:tblPr/>
      <w:trPr>
        <w:cantSplit w:val="0"/>
        <w:tblHeader/>
      </w:trPr>
      <w:tcPr>
        <w:shd w:val="clear" w:color="auto" w:fill="002856" w:themeFill="text2"/>
      </w:tcPr>
    </w:tblStylePr>
    <w:tblStylePr w:type="firstCol">
      <w:pPr>
        <w:jc w:val="left"/>
      </w:pPr>
      <w:tblPr/>
      <w:tcPr>
        <w:vAlign w:val="center"/>
      </w:tcPr>
    </w:tblStylePr>
  </w:style>
  <w:style w:type="table" w:customStyle="1" w:styleId="TableStyleMedBlue">
    <w:name w:val="Table Style Med Blue"/>
    <w:basedOn w:val="TableNormal"/>
    <w:rsid w:val="00680DB3"/>
    <w:rPr>
      <w:rFonts w:ascii="Arial" w:hAnsi="Arial"/>
    </w:rPr>
    <w:tblP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
    <w:tcPr>
      <w:vAlign w:val="center"/>
    </w:tcPr>
    <w:tblStylePr w:type="firstRow">
      <w:pPr>
        <w:jc w:val="center"/>
      </w:pPr>
      <w:rPr>
        <w:b/>
        <w:color w:val="FFFFFF"/>
        <w:sz w:val="20"/>
      </w:rPr>
      <w:tblPr/>
      <w:trPr>
        <w:tblHeader/>
      </w:trPr>
      <w:tcPr>
        <w:shd w:val="clear" w:color="auto" w:fill="909BB3"/>
        <w:vAlign w:val="bottom"/>
      </w:tcPr>
    </w:tblStylePr>
  </w:style>
  <w:style w:type="table" w:customStyle="1" w:styleId="TableStyleBrown">
    <w:name w:val="Table Style Brown"/>
    <w:basedOn w:val="TableNormal"/>
    <w:rsid w:val="00680DB3"/>
    <w:rPr>
      <w:rFonts w:ascii="Arial" w:hAnsi="Arial"/>
    </w:rPr>
    <w:tblP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
    <w:tcPr>
      <w:vAlign w:val="center"/>
    </w:tcPr>
    <w:tblStylePr w:type="firstRow">
      <w:pPr>
        <w:jc w:val="center"/>
      </w:pPr>
      <w:rPr>
        <w:b/>
        <w:color w:val="FFFFFF"/>
      </w:rPr>
      <w:tblPr/>
      <w:trPr>
        <w:cantSplit w:val="0"/>
        <w:tblHeader/>
      </w:trPr>
      <w:tcPr>
        <w:shd w:val="clear" w:color="auto" w:fill="6D5E3B"/>
        <w:vAlign w:val="bottom"/>
      </w:tcPr>
    </w:tblStylePr>
  </w:style>
  <w:style w:type="table" w:customStyle="1" w:styleId="TableStyleRed">
    <w:name w:val="Table Style Red"/>
    <w:basedOn w:val="TableNormal"/>
    <w:rsid w:val="00680DB3"/>
    <w:rPr>
      <w:rFonts w:ascii="Arial" w:hAnsi="Arial"/>
    </w:rPr>
    <w:tblP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
    <w:tcPr>
      <w:vAlign w:val="center"/>
    </w:tcPr>
    <w:tblStylePr w:type="firstRow">
      <w:pPr>
        <w:jc w:val="center"/>
      </w:pPr>
      <w:rPr>
        <w:b/>
        <w:color w:val="FFFFFF"/>
      </w:rPr>
      <w:tblPr/>
      <w:trPr>
        <w:tblHeader/>
      </w:trPr>
      <w:tcPr>
        <w:shd w:val="clear" w:color="auto" w:fill="982A22"/>
        <w:vAlign w:val="bottom"/>
      </w:tcPr>
    </w:tblStylePr>
  </w:style>
  <w:style w:type="table" w:customStyle="1" w:styleId="TableStyleLtBlue">
    <w:name w:val="Table Style Lt Blue"/>
    <w:basedOn w:val="TableNormal"/>
    <w:rsid w:val="00680DB3"/>
    <w:rPr>
      <w:rFonts w:ascii="Arial" w:hAnsi="Arial"/>
    </w:rPr>
    <w:tblP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
    <w:tcPr>
      <w:vAlign w:val="center"/>
    </w:tcPr>
    <w:tblStylePr w:type="firstRow">
      <w:pPr>
        <w:jc w:val="center"/>
      </w:pPr>
      <w:rPr>
        <w:rFonts w:ascii="Arial" w:hAnsi="Arial"/>
        <w:b/>
        <w:sz w:val="20"/>
      </w:rPr>
      <w:tblPr/>
      <w:trPr>
        <w:tblHeader/>
      </w:trPr>
      <w:tcPr>
        <w:shd w:val="clear" w:color="auto" w:fill="CBD0DF"/>
        <w:vAlign w:val="bottom"/>
      </w:tcPr>
    </w:tblStylePr>
  </w:style>
  <w:style w:type="table" w:customStyle="1" w:styleId="TableStyle-RowLtBlue">
    <w:name w:val="Table Style-Row Lt Blue"/>
    <w:basedOn w:val="TableNormal"/>
    <w:rsid w:val="00680DB3"/>
    <w:pPr>
      <w:jc w:val="center"/>
    </w:pPr>
    <w:rPr>
      <w:rFonts w:ascii="Arial" w:hAnsi="Arial"/>
    </w:rPr>
    <w:tblPr>
      <w:tblStyleRowBandSize w:val="1"/>
    </w:tblPr>
    <w:tcPr>
      <w:vAlign w:val="center"/>
    </w:tcPr>
    <w:tblStylePr w:type="firstRow">
      <w:pPr>
        <w:jc w:val="center"/>
      </w:pPr>
      <w:rPr>
        <w:rFonts w:ascii="Arial" w:hAnsi="Arial"/>
        <w:b/>
        <w:sz w:val="20"/>
      </w:rPr>
      <w:tblPr/>
      <w:trPr>
        <w:tblHeader/>
      </w:trPr>
      <w:tcPr>
        <w:vAlign w:val="bottom"/>
      </w:tcPr>
    </w:tblStylePr>
    <w:tblStylePr w:type="firstCol">
      <w:pPr>
        <w:jc w:val="center"/>
      </w:pPr>
    </w:tblStylePr>
    <w:tblStylePr w:type="band1Horz">
      <w:pPr>
        <w:jc w:val="center"/>
      </w:pPr>
      <w:tblPr/>
      <w:tcPr>
        <w:shd w:val="clear" w:color="auto" w:fill="CBD0DF"/>
      </w:tcPr>
    </w:tblStylePr>
  </w:style>
  <w:style w:type="table" w:customStyle="1" w:styleId="TableStyle-TasksDeliverGrey">
    <w:name w:val="Table Style-Tasks/Deliver Grey"/>
    <w:basedOn w:val="TableNormal"/>
    <w:rsid w:val="00680DB3"/>
    <w:rPr>
      <w:rFonts w:ascii="Arial" w:hAnsi="Arial"/>
    </w:rPr>
    <w:tblPr>
      <w:tblStyleRowBandSize w:val="1"/>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Pr>
    <w:tblStylePr w:type="firstRow">
      <w:pPr>
        <w:jc w:val="center"/>
      </w:pPr>
      <w:rPr>
        <w:rFonts w:ascii="Arial" w:hAnsi="Arial"/>
        <w:b w:val="0"/>
        <w:sz w:val="24"/>
      </w:rPr>
      <w:tblPr/>
      <w:tcPr>
        <w:tcBorders>
          <w:bottom w:val="single" w:sz="12" w:space="0" w:color="auto"/>
          <w:insideH w:val="nil"/>
        </w:tcBorders>
        <w:shd w:val="clear" w:color="auto" w:fill="C0C0C0"/>
        <w:vAlign w:val="center"/>
      </w:tcPr>
    </w:tblStylePr>
    <w:tblStylePr w:type="band1Horz">
      <w:pPr>
        <w:jc w:val="left"/>
      </w:pPr>
      <w:rPr>
        <w:rFonts w:ascii="Arial" w:hAnsi="Arial"/>
        <w:b w:val="0"/>
        <w:i w:val="0"/>
        <w:sz w:val="24"/>
      </w:rPr>
      <w:tblPr/>
      <w:tcPr>
        <w:tcBorders>
          <w:bottom w:val="single" w:sz="8" w:space="0" w:color="auto"/>
        </w:tcBorders>
        <w:shd w:val="clear" w:color="auto" w:fill="C0C0C0"/>
      </w:tcPr>
    </w:tblStylePr>
    <w:tblStylePr w:type="band2Horz">
      <w:pPr>
        <w:jc w:val="left"/>
      </w:pPr>
      <w:rPr>
        <w:rFonts w:ascii="Arial" w:hAnsi="Arial"/>
        <w:sz w:val="20"/>
      </w:rPr>
      <w:tblPr/>
      <w:tcPr>
        <w:tcBorders>
          <w:insideH w:val="single" w:sz="8" w:space="0" w:color="auto"/>
          <w:insideV w:val="single" w:sz="8" w:space="0" w:color="auto"/>
        </w:tcBorders>
      </w:tcPr>
    </w:tblStylePr>
  </w:style>
  <w:style w:type="paragraph" w:customStyle="1" w:styleId="TableTextBold">
    <w:name w:val="Table Text Bold"/>
    <w:basedOn w:val="TableText"/>
    <w:rsid w:val="00844338"/>
    <w:rPr>
      <w:b/>
    </w:rPr>
  </w:style>
  <w:style w:type="table" w:customStyle="1" w:styleId="TableStyle-TasksDeliverLtBlue">
    <w:name w:val="Table Style-Tasks/Deliver Lt Blue"/>
    <w:basedOn w:val="TableNormal"/>
    <w:rsid w:val="00680DB3"/>
    <w:rPr>
      <w:rFonts w:ascii="Arial" w:hAnsi="Arial"/>
    </w:rPr>
    <w:tblPr>
      <w:tblStyleRowBandSize w:val="1"/>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Pr>
    <w:tblStylePr w:type="firstRow">
      <w:pPr>
        <w:jc w:val="center"/>
      </w:pPr>
      <w:rPr>
        <w:b w:val="0"/>
      </w:rPr>
      <w:tblPr/>
      <w:tcPr>
        <w:tcBorders>
          <w:bottom w:val="single" w:sz="12" w:space="0" w:color="auto"/>
        </w:tcBorders>
        <w:shd w:val="clear" w:color="auto" w:fill="CBD0DF"/>
        <w:vAlign w:val="center"/>
      </w:tcPr>
    </w:tblStylePr>
    <w:tblStylePr w:type="band1Horz">
      <w:pPr>
        <w:jc w:val="left"/>
      </w:pPr>
      <w:tblPr/>
      <w:tcPr>
        <w:shd w:val="clear" w:color="auto" w:fill="CBD0DF"/>
      </w:tcPr>
    </w:tblStylePr>
    <w:tblStylePr w:type="band2Horz">
      <w:pPr>
        <w:jc w:val="left"/>
      </w:pPr>
    </w:tblStylePr>
  </w:style>
  <w:style w:type="paragraph" w:styleId="TOCHeading">
    <w:name w:val="TOC Heading"/>
    <w:basedOn w:val="Normal"/>
    <w:next w:val="Normal"/>
    <w:uiPriority w:val="39"/>
    <w:qFormat/>
    <w:rsid w:val="00C34E78"/>
    <w:pPr>
      <w:keepNext/>
      <w:spacing w:before="240"/>
    </w:pPr>
    <w:rPr>
      <w:rFonts w:eastAsia="MS Mincho" w:cs="Times New Roman"/>
      <w:b/>
      <w:szCs w:val="20"/>
    </w:rPr>
  </w:style>
  <w:style w:type="paragraph" w:styleId="FootnoteText">
    <w:name w:val="footnote text"/>
    <w:basedOn w:val="Normal"/>
    <w:semiHidden/>
    <w:rsid w:val="00A76E1D"/>
    <w:rPr>
      <w:rFonts w:eastAsia="MS Mincho" w:cs="Times New Roman"/>
      <w:szCs w:val="20"/>
    </w:rPr>
  </w:style>
  <w:style w:type="character" w:styleId="FootnoteReference">
    <w:name w:val="footnote reference"/>
    <w:semiHidden/>
    <w:rsid w:val="00A76E1D"/>
    <w:rPr>
      <w:vertAlign w:val="superscript"/>
    </w:rPr>
  </w:style>
  <w:style w:type="paragraph" w:customStyle="1" w:styleId="TableTextCentered">
    <w:name w:val="Table Text Centered"/>
    <w:basedOn w:val="TableText"/>
    <w:rsid w:val="008B1A2F"/>
    <w:pPr>
      <w:jc w:val="center"/>
    </w:pPr>
  </w:style>
  <w:style w:type="paragraph" w:customStyle="1" w:styleId="Normal-nospace">
    <w:name w:val="Normal-no space"/>
    <w:basedOn w:val="Normal"/>
    <w:rsid w:val="00A569D5"/>
    <w:pPr>
      <w:spacing w:after="0"/>
    </w:pPr>
  </w:style>
  <w:style w:type="character" w:customStyle="1" w:styleId="Heading2Char">
    <w:name w:val="Heading 2 Char"/>
    <w:basedOn w:val="DefaultParagraphFont"/>
    <w:link w:val="Heading2"/>
    <w:rsid w:val="00793A9A"/>
    <w:rPr>
      <w:rFonts w:ascii="Arial Black" w:eastAsia="Times New Roman" w:hAnsi="Arial Black" w:cs="Arial"/>
      <w:b/>
      <w:spacing w:val="10"/>
      <w:sz w:val="28"/>
      <w:szCs w:val="22"/>
    </w:rPr>
  </w:style>
  <w:style w:type="paragraph" w:customStyle="1" w:styleId="Num-Heading9">
    <w:name w:val="Num-Heading 9"/>
    <w:basedOn w:val="Normal"/>
    <w:next w:val="Normal"/>
    <w:rsid w:val="004A3B28"/>
    <w:pPr>
      <w:keepNext/>
      <w:numPr>
        <w:ilvl w:val="8"/>
        <w:numId w:val="18"/>
      </w:numPr>
      <w:spacing w:before="240"/>
      <w:outlineLvl w:val="8"/>
    </w:pPr>
    <w:rPr>
      <w:b/>
    </w:rPr>
  </w:style>
  <w:style w:type="character" w:customStyle="1" w:styleId="SectionDividerChar">
    <w:name w:val="Section Divider Char"/>
    <w:basedOn w:val="Heading1Char"/>
    <w:link w:val="SectionDivider"/>
    <w:rsid w:val="00B3121E"/>
    <w:rPr>
      <w:rFonts w:ascii="Arial Black" w:eastAsia="Times New Roman" w:hAnsi="Arial Black" w:cs="Arial"/>
      <w:b/>
      <w:snapToGrid w:val="0"/>
      <w:color w:val="002856" w:themeColor="text2"/>
      <w:sz w:val="32"/>
      <w:szCs w:val="32"/>
    </w:rPr>
  </w:style>
  <w:style w:type="numbering" w:customStyle="1" w:styleId="Num-Headings">
    <w:name w:val="Num-Headings"/>
    <w:basedOn w:val="NoList"/>
    <w:semiHidden/>
    <w:rsid w:val="004A3B28"/>
    <w:pPr>
      <w:numPr>
        <w:numId w:val="13"/>
      </w:numPr>
    </w:pPr>
  </w:style>
  <w:style w:type="character" w:customStyle="1" w:styleId="TableTextChar">
    <w:name w:val="Table Text Char"/>
    <w:basedOn w:val="DefaultParagraphFont"/>
    <w:link w:val="TableText"/>
    <w:rsid w:val="005D4B8F"/>
    <w:rPr>
      <w:rFonts w:ascii="Arial" w:eastAsia="Times New Roman" w:hAnsi="Arial" w:cs="Arial"/>
      <w:szCs w:val="22"/>
    </w:rPr>
  </w:style>
  <w:style w:type="paragraph" w:customStyle="1" w:styleId="Footer-left">
    <w:name w:val="Footer-left"/>
    <w:basedOn w:val="Footer"/>
    <w:rsid w:val="0090753B"/>
    <w:rPr>
      <w:szCs w:val="11"/>
    </w:rPr>
  </w:style>
  <w:style w:type="paragraph" w:customStyle="1" w:styleId="TableTextWhite">
    <w:name w:val="Table Text White"/>
    <w:basedOn w:val="TableText"/>
    <w:rsid w:val="00586F2A"/>
    <w:pPr>
      <w:jc w:val="center"/>
    </w:pPr>
    <w:rPr>
      <w:color w:val="FFFFFF"/>
    </w:rPr>
  </w:style>
  <w:style w:type="paragraph" w:customStyle="1" w:styleId="TableTextBoldItalic">
    <w:name w:val="Table Text Bold Italic"/>
    <w:basedOn w:val="TableTextBold"/>
    <w:rsid w:val="00586F2A"/>
    <w:rPr>
      <w:i/>
    </w:rPr>
  </w:style>
  <w:style w:type="character" w:customStyle="1" w:styleId="FooterChar">
    <w:name w:val="Footer Char"/>
    <w:basedOn w:val="DefaultParagraphFont"/>
    <w:link w:val="Footer"/>
    <w:uiPriority w:val="99"/>
    <w:rsid w:val="00FF3FA2"/>
    <w:rPr>
      <w:rFonts w:ascii="Arial" w:eastAsia="Times New Roman" w:hAnsi="Arial" w:cs="Arial"/>
      <w:sz w:val="18"/>
      <w:szCs w:val="22"/>
    </w:rPr>
  </w:style>
  <w:style w:type="paragraph" w:customStyle="1" w:styleId="SectionDivider-Numbered">
    <w:name w:val="Section Divider-Numbered"/>
    <w:basedOn w:val="SectionDivider"/>
    <w:rsid w:val="008369A1"/>
    <w:pPr>
      <w:numPr>
        <w:numId w:val="11"/>
      </w:numPr>
    </w:pPr>
  </w:style>
  <w:style w:type="table" w:customStyle="1" w:styleId="TableStyleWhite">
    <w:name w:val="Table Style White"/>
    <w:basedOn w:val="TableNormal"/>
    <w:uiPriority w:val="99"/>
    <w:qFormat/>
    <w:rsid w:val="00CC368B"/>
    <w:rPr>
      <w:rFonts w:ascii="Arial" w:hAnsi="Arial"/>
    </w:rPr>
    <w:tblP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Pr>
    <w:tcPr>
      <w:shd w:val="clear" w:color="auto" w:fill="FFFFFF"/>
    </w:tcPr>
    <w:tblStylePr w:type="firstRow">
      <w:pPr>
        <w:jc w:val="center"/>
      </w:pPr>
      <w:rPr>
        <w:rFonts w:ascii="Arial" w:hAnsi="Arial"/>
        <w:b/>
        <w:color w:val="002856" w:themeColor="text2"/>
        <w:sz w:val="20"/>
      </w:rPr>
      <w:tblPr/>
      <w:trPr>
        <w:tblHeader/>
      </w:trPr>
      <w:tcPr>
        <w:tcBorders>
          <w:top w:val="single" w:sz="12" w:space="0" w:color="auto"/>
          <w:left w:val="single" w:sz="12" w:space="0" w:color="auto"/>
          <w:bottom w:val="single" w:sz="12" w:space="0" w:color="auto"/>
          <w:right w:val="single" w:sz="12" w:space="0" w:color="auto"/>
        </w:tcBorders>
        <w:vAlign w:val="bottom"/>
      </w:tcPr>
    </w:tblStylePr>
  </w:style>
  <w:style w:type="character" w:customStyle="1" w:styleId="HeaderChar">
    <w:name w:val="Header Char"/>
    <w:basedOn w:val="DefaultParagraphFont"/>
    <w:link w:val="Header"/>
    <w:uiPriority w:val="99"/>
    <w:rsid w:val="00FF3FA2"/>
    <w:rPr>
      <w:rFonts w:ascii="Arial" w:eastAsia="Times New Roman" w:hAnsi="Arial" w:cs="Arial"/>
      <w:sz w:val="18"/>
      <w:szCs w:val="22"/>
    </w:rPr>
  </w:style>
  <w:style w:type="paragraph" w:customStyle="1" w:styleId="TOC-figures">
    <w:name w:val="TOC-figures"/>
    <w:basedOn w:val="Normal"/>
    <w:rsid w:val="00E85221"/>
    <w:pPr>
      <w:tabs>
        <w:tab w:val="left" w:pos="1710"/>
        <w:tab w:val="right" w:leader="dot" w:pos="9360"/>
      </w:tabs>
      <w:ind w:left="1253" w:right="720" w:hanging="1253"/>
    </w:pPr>
    <w:rPr>
      <w:noProof/>
      <w:snapToGrid w:val="0"/>
    </w:rPr>
  </w:style>
  <w:style w:type="character" w:customStyle="1" w:styleId="Heading1Char">
    <w:name w:val="Heading 1 Char"/>
    <w:basedOn w:val="DefaultParagraphFont"/>
    <w:link w:val="Heading1"/>
    <w:rsid w:val="0005736E"/>
    <w:rPr>
      <w:rFonts w:ascii="Arial Black" w:eastAsia="Times New Roman" w:hAnsi="Arial Black" w:cs="Arial"/>
      <w:b/>
      <w:color w:val="002856" w:themeColor="text2"/>
      <w:sz w:val="32"/>
      <w:szCs w:val="22"/>
    </w:rPr>
  </w:style>
  <w:style w:type="paragraph" w:customStyle="1" w:styleId="TableMoney">
    <w:name w:val="Table Money"/>
    <w:basedOn w:val="TableText"/>
    <w:rsid w:val="00680DB3"/>
    <w:pPr>
      <w:tabs>
        <w:tab w:val="decimal" w:pos="925"/>
      </w:tabs>
    </w:pPr>
  </w:style>
  <w:style w:type="paragraph" w:customStyle="1" w:styleId="TableMoneyBold">
    <w:name w:val="Table Money Bold"/>
    <w:basedOn w:val="TableMoney"/>
    <w:rsid w:val="00680DB3"/>
    <w:rPr>
      <w:b/>
    </w:rPr>
  </w:style>
  <w:style w:type="character" w:customStyle="1" w:styleId="Num-Heading1Char">
    <w:name w:val="Num-Heading 1 Char"/>
    <w:basedOn w:val="DefaultParagraphFont"/>
    <w:link w:val="Num-Heading1"/>
    <w:rsid w:val="00793A9A"/>
    <w:rPr>
      <w:rFonts w:ascii="Arial Black" w:eastAsia="Times New Roman" w:hAnsi="Arial Black" w:cs="Arial"/>
      <w:b/>
      <w:sz w:val="28"/>
      <w:szCs w:val="22"/>
    </w:rPr>
  </w:style>
  <w:style w:type="character" w:customStyle="1" w:styleId="bullet1Char">
    <w:name w:val="bullet 1 Char"/>
    <w:basedOn w:val="DefaultParagraphFont"/>
    <w:link w:val="bullet1"/>
    <w:rsid w:val="00FC7D2A"/>
    <w:rPr>
      <w:rFonts w:ascii="Arial" w:eastAsia="Times New Roman" w:hAnsi="Arial" w:cs="Arial"/>
      <w:szCs w:val="22"/>
    </w:rPr>
  </w:style>
  <w:style w:type="table" w:styleId="TableGrid">
    <w:name w:val="Table Grid"/>
    <w:basedOn w:val="TableNormal"/>
    <w:rsid w:val="005251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DE60D1"/>
    <w:pPr>
      <w:spacing w:before="100" w:beforeAutospacing="1" w:after="100" w:afterAutospacing="1"/>
    </w:pPr>
    <w:rPr>
      <w:rFonts w:ascii="Times New Roman" w:hAnsi="Times New Roman" w:cs="Times New Roman"/>
      <w:sz w:val="24"/>
      <w:szCs w:val="24"/>
    </w:rPr>
  </w:style>
  <w:style w:type="paragraph" w:customStyle="1" w:styleId="TableTextArialBlack9ptBlue">
    <w:name w:val="Table Text Arial Black 9pt Blue"/>
    <w:basedOn w:val="TableText"/>
    <w:qFormat/>
    <w:rsid w:val="00EB4CFA"/>
    <w:rPr>
      <w:rFonts w:ascii="Arial Black" w:hAnsi="Arial Black"/>
      <w:color w:val="002856"/>
      <w:sz w:val="18"/>
      <w:szCs w:val="20"/>
    </w:rPr>
  </w:style>
  <w:style w:type="paragraph" w:customStyle="1" w:styleId="TableHeadingArialBlack">
    <w:name w:val="Table Heading Arial Black"/>
    <w:basedOn w:val="TableText"/>
    <w:qFormat/>
    <w:rsid w:val="00EB4CFA"/>
    <w:pPr>
      <w:jc w:val="center"/>
    </w:pPr>
    <w:rPr>
      <w:rFonts w:ascii="Arial Black" w:hAnsi="Arial Black"/>
      <w:sz w:val="18"/>
      <w:szCs w:val="18"/>
    </w:rPr>
  </w:style>
  <w:style w:type="table" w:customStyle="1" w:styleId="DarkBlueHorizontalLines">
    <w:name w:val="Dark Blue Horizontal Lines"/>
    <w:basedOn w:val="TableNormal"/>
    <w:uiPriority w:val="99"/>
    <w:rsid w:val="00EB4CFA"/>
    <w:tblPr>
      <w:tblBorders>
        <w:bottom w:val="single" w:sz="4" w:space="0" w:color="D3D3D3"/>
        <w:insideH w:val="single" w:sz="4" w:space="0" w:color="D3D3D3"/>
      </w:tblBorders>
    </w:tblPr>
    <w:tblStylePr w:type="firstRow">
      <w:pPr>
        <w:jc w:val="center"/>
      </w:pPr>
      <w:rPr>
        <w:rFonts w:ascii="Arial Black" w:hAnsi="Arial Black"/>
        <w:b w:val="0"/>
        <w:i w:val="0"/>
        <w:sz w:val="20"/>
      </w:rPr>
      <w:tblPr/>
      <w:trPr>
        <w:cantSplit/>
        <w:tblHeader/>
      </w:trPr>
      <w:tcPr>
        <w:shd w:val="clear" w:color="auto" w:fill="002856"/>
        <w:vAlign w:val="center"/>
      </w:tcPr>
    </w:tblStylePr>
  </w:style>
  <w:style w:type="table" w:styleId="TableTheme">
    <w:name w:val="Table Theme"/>
    <w:basedOn w:val="TableNormal"/>
    <w:rsid w:val="00EB4CFA"/>
    <w:pPr>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unhideWhenUsed/>
    <w:rsid w:val="006307C8"/>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6307C8"/>
    <w:rPr>
      <w:rFonts w:ascii="Segoe UI" w:eastAsia="Times New Roman" w:hAnsi="Segoe UI" w:cs="Segoe UI"/>
      <w:sz w:val="18"/>
      <w:szCs w:val="18"/>
    </w:rPr>
  </w:style>
  <w:style w:type="character" w:customStyle="1" w:styleId="UnresolvedMention1">
    <w:name w:val="Unresolved Mention1"/>
    <w:basedOn w:val="DefaultParagraphFont"/>
    <w:uiPriority w:val="99"/>
    <w:unhideWhenUsed/>
    <w:rsid w:val="00351758"/>
    <w:rPr>
      <w:color w:val="605E5C"/>
      <w:shd w:val="clear" w:color="auto" w:fill="E1DFDD"/>
    </w:rPr>
  </w:style>
  <w:style w:type="table" w:styleId="GridTable1Light-Accent3">
    <w:name w:val="Grid Table 1 Light Accent 3"/>
    <w:basedOn w:val="TableNormal"/>
    <w:uiPriority w:val="46"/>
    <w:rsid w:val="00351758"/>
    <w:tblPr>
      <w:tblStyleRowBandSize w:val="1"/>
      <w:tblStyleColBandSize w:val="1"/>
      <w:tblBorders>
        <w:top w:val="single" w:sz="4" w:space="0" w:color="F3F4F4" w:themeColor="accent3" w:themeTint="66"/>
        <w:left w:val="single" w:sz="4" w:space="0" w:color="F3F4F4" w:themeColor="accent3" w:themeTint="66"/>
        <w:bottom w:val="single" w:sz="4" w:space="0" w:color="F3F4F4" w:themeColor="accent3" w:themeTint="66"/>
        <w:right w:val="single" w:sz="4" w:space="0" w:color="F3F4F4" w:themeColor="accent3" w:themeTint="66"/>
        <w:insideH w:val="single" w:sz="4" w:space="0" w:color="F3F4F4" w:themeColor="accent3" w:themeTint="66"/>
        <w:insideV w:val="single" w:sz="4" w:space="0" w:color="F3F4F4" w:themeColor="accent3" w:themeTint="66"/>
      </w:tblBorders>
    </w:tblPr>
    <w:tblStylePr w:type="firstRow">
      <w:rPr>
        <w:b/>
        <w:bCs/>
      </w:rPr>
      <w:tblPr/>
      <w:tcPr>
        <w:tcBorders>
          <w:bottom w:val="single" w:sz="12" w:space="0" w:color="EDEEEE" w:themeColor="accent3" w:themeTint="99"/>
        </w:tcBorders>
      </w:tcPr>
    </w:tblStylePr>
    <w:tblStylePr w:type="lastRow">
      <w:rPr>
        <w:b/>
        <w:bCs/>
      </w:rPr>
      <w:tblPr/>
      <w:tcPr>
        <w:tcBorders>
          <w:top w:val="double" w:sz="2" w:space="0" w:color="EDEEEE" w:themeColor="accent3"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8D1C3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ext-Basic">
    <w:name w:val="Text - Basic"/>
    <w:basedOn w:val="Normal"/>
    <w:rsid w:val="00013D9D"/>
    <w:pPr>
      <w:spacing w:after="140" w:line="280" w:lineRule="atLeast"/>
    </w:pPr>
    <w:rPr>
      <w:rFonts w:cs="Times New Roman"/>
      <w:color w:val="000000"/>
      <w:szCs w:val="20"/>
    </w:rPr>
  </w:style>
  <w:style w:type="paragraph" w:styleId="ListParagraph">
    <w:name w:val="List Paragraph"/>
    <w:basedOn w:val="Normal"/>
    <w:uiPriority w:val="34"/>
    <w:qFormat/>
    <w:rsid w:val="00662D31"/>
    <w:pPr>
      <w:spacing w:after="200" w:line="276" w:lineRule="auto"/>
      <w:ind w:left="720"/>
      <w:contextualSpacing/>
    </w:pPr>
    <w:rPr>
      <w:rFonts w:asciiTheme="minorHAnsi" w:eastAsiaTheme="minorEastAsia" w:hAnsiTheme="minorHAnsi" w:cstheme="minorBidi"/>
    </w:rPr>
  </w:style>
  <w:style w:type="character" w:styleId="CommentReference">
    <w:name w:val="annotation reference"/>
    <w:basedOn w:val="DefaultParagraphFont"/>
    <w:semiHidden/>
    <w:unhideWhenUsed/>
    <w:rsid w:val="00FA599F"/>
    <w:rPr>
      <w:sz w:val="16"/>
      <w:szCs w:val="16"/>
    </w:rPr>
  </w:style>
  <w:style w:type="paragraph" w:styleId="CommentText">
    <w:name w:val="annotation text"/>
    <w:basedOn w:val="Normal"/>
    <w:link w:val="CommentTextChar"/>
    <w:semiHidden/>
    <w:unhideWhenUsed/>
    <w:rsid w:val="00FA599F"/>
    <w:rPr>
      <w:szCs w:val="20"/>
    </w:rPr>
  </w:style>
  <w:style w:type="character" w:customStyle="1" w:styleId="CommentTextChar">
    <w:name w:val="Comment Text Char"/>
    <w:basedOn w:val="DefaultParagraphFont"/>
    <w:link w:val="CommentText"/>
    <w:semiHidden/>
    <w:rsid w:val="00FA599F"/>
    <w:rPr>
      <w:rFonts w:ascii="Arial" w:eastAsia="Times New Roman" w:hAnsi="Arial" w:cs="Arial"/>
    </w:rPr>
  </w:style>
  <w:style w:type="paragraph" w:styleId="CommentSubject">
    <w:name w:val="annotation subject"/>
    <w:basedOn w:val="CommentText"/>
    <w:next w:val="CommentText"/>
    <w:link w:val="CommentSubjectChar"/>
    <w:semiHidden/>
    <w:unhideWhenUsed/>
    <w:rsid w:val="00FA599F"/>
    <w:rPr>
      <w:b/>
      <w:bCs/>
    </w:rPr>
  </w:style>
  <w:style w:type="character" w:customStyle="1" w:styleId="CommentSubjectChar">
    <w:name w:val="Comment Subject Char"/>
    <w:basedOn w:val="CommentTextChar"/>
    <w:link w:val="CommentSubject"/>
    <w:semiHidden/>
    <w:rsid w:val="00FA599F"/>
    <w:rPr>
      <w:rFonts w:ascii="Arial" w:eastAsia="Times New Roman" w:hAnsi="Arial" w:cs="Arial"/>
      <w:b/>
      <w:bCs/>
    </w:rPr>
  </w:style>
  <w:style w:type="paragraph" w:styleId="Revision">
    <w:name w:val="Revision"/>
    <w:hidden/>
    <w:uiPriority w:val="99"/>
    <w:semiHidden/>
    <w:rsid w:val="00FA599F"/>
    <w:rPr>
      <w:rFonts w:ascii="Arial" w:eastAsia="Times New Roman" w:hAnsi="Arial" w:cs="Arial"/>
      <w:sz w:val="22"/>
      <w:szCs w:val="22"/>
    </w:rPr>
  </w:style>
  <w:style w:type="character" w:customStyle="1" w:styleId="Mention1">
    <w:name w:val="Mention1"/>
    <w:basedOn w:val="DefaultParagraphFont"/>
    <w:uiPriority w:val="99"/>
    <w:unhideWhenUsed/>
    <w:rsid w:val="00ED260E"/>
    <w:rPr>
      <w:color w:val="2B579A"/>
      <w:shd w:val="clear" w:color="auto" w:fill="E1DFDD"/>
    </w:rPr>
  </w:style>
  <w:style w:type="paragraph" w:customStyle="1" w:styleId="CellHeadingC">
    <w:name w:val="CellHeadingC"/>
    <w:basedOn w:val="Normal"/>
    <w:rsid w:val="00AD18E2"/>
    <w:pPr>
      <w:keepNext/>
      <w:spacing w:after="60"/>
      <w:jc w:val="center"/>
    </w:pPr>
    <w:rPr>
      <w:rFonts w:cs="Times New Roman"/>
      <w:b/>
      <w:sz w:val="18"/>
      <w:szCs w:val="20"/>
    </w:rPr>
  </w:style>
  <w:style w:type="paragraph" w:customStyle="1" w:styleId="HeaderDocNum">
    <w:name w:val="HeaderDocNum"/>
    <w:basedOn w:val="Header"/>
    <w:semiHidden/>
    <w:locked/>
    <w:rsid w:val="00AD18E2"/>
    <w:pPr>
      <w:spacing w:before="120" w:after="0"/>
    </w:pPr>
    <w:rPr>
      <w:rFonts w:cs="Times New Roman"/>
      <w:b/>
      <w:szCs w:val="20"/>
    </w:rPr>
  </w:style>
  <w:style w:type="paragraph" w:customStyle="1" w:styleId="HeaderPubDate">
    <w:name w:val="HeaderPubDate"/>
    <w:basedOn w:val="Normal"/>
    <w:semiHidden/>
    <w:locked/>
    <w:rsid w:val="00AD18E2"/>
    <w:pPr>
      <w:spacing w:before="120" w:after="0"/>
    </w:pPr>
    <w:rPr>
      <w:rFonts w:cs="Times New Roman"/>
      <w:b/>
      <w:szCs w:val="20"/>
    </w:rPr>
  </w:style>
  <w:style w:type="paragraph" w:customStyle="1" w:styleId="ResearchHeader">
    <w:name w:val="ResearchHeader"/>
    <w:basedOn w:val="Normal"/>
    <w:semiHidden/>
    <w:locked/>
    <w:rsid w:val="00AD18E2"/>
    <w:pPr>
      <w:spacing w:before="240" w:after="0"/>
      <w:jc w:val="right"/>
    </w:pPr>
    <w:rPr>
      <w:rFonts w:cs="Times New Roman"/>
      <w:b/>
      <w:sz w:val="3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9004659">
      <w:bodyDiv w:val="1"/>
      <w:marLeft w:val="0"/>
      <w:marRight w:val="0"/>
      <w:marTop w:val="0"/>
      <w:marBottom w:val="0"/>
      <w:divBdr>
        <w:top w:val="none" w:sz="0" w:space="0" w:color="auto"/>
        <w:left w:val="none" w:sz="0" w:space="0" w:color="auto"/>
        <w:bottom w:val="none" w:sz="0" w:space="0" w:color="auto"/>
        <w:right w:val="none" w:sz="0" w:space="0" w:color="auto"/>
      </w:divBdr>
      <w:divsChild>
        <w:div w:id="1239636359">
          <w:marLeft w:val="0"/>
          <w:marRight w:val="0"/>
          <w:marTop w:val="0"/>
          <w:marBottom w:val="0"/>
          <w:divBdr>
            <w:top w:val="none" w:sz="0" w:space="0" w:color="auto"/>
            <w:left w:val="none" w:sz="0" w:space="0" w:color="auto"/>
            <w:bottom w:val="none" w:sz="0" w:space="0" w:color="auto"/>
            <w:right w:val="none" w:sz="0" w:space="0" w:color="auto"/>
          </w:divBdr>
        </w:div>
      </w:divsChild>
    </w:div>
    <w:div w:id="872695273">
      <w:bodyDiv w:val="1"/>
      <w:marLeft w:val="0"/>
      <w:marRight w:val="0"/>
      <w:marTop w:val="0"/>
      <w:marBottom w:val="0"/>
      <w:divBdr>
        <w:top w:val="none" w:sz="0" w:space="0" w:color="auto"/>
        <w:left w:val="none" w:sz="0" w:space="0" w:color="auto"/>
        <w:bottom w:val="none" w:sz="0" w:space="0" w:color="auto"/>
        <w:right w:val="none" w:sz="0" w:space="0" w:color="auto"/>
      </w:divBdr>
    </w:div>
    <w:div w:id="1069883054">
      <w:bodyDiv w:val="1"/>
      <w:marLeft w:val="0"/>
      <w:marRight w:val="0"/>
      <w:marTop w:val="0"/>
      <w:marBottom w:val="0"/>
      <w:divBdr>
        <w:top w:val="none" w:sz="0" w:space="0" w:color="auto"/>
        <w:left w:val="none" w:sz="0" w:space="0" w:color="auto"/>
        <w:bottom w:val="none" w:sz="0" w:space="0" w:color="auto"/>
        <w:right w:val="none" w:sz="0" w:space="0" w:color="auto"/>
      </w:divBdr>
    </w:div>
    <w:div w:id="1106272582">
      <w:bodyDiv w:val="1"/>
      <w:marLeft w:val="0"/>
      <w:marRight w:val="0"/>
      <w:marTop w:val="0"/>
      <w:marBottom w:val="0"/>
      <w:divBdr>
        <w:top w:val="none" w:sz="0" w:space="0" w:color="auto"/>
        <w:left w:val="none" w:sz="0" w:space="0" w:color="auto"/>
        <w:bottom w:val="none" w:sz="0" w:space="0" w:color="auto"/>
        <w:right w:val="none" w:sz="0" w:space="0" w:color="auto"/>
      </w:divBdr>
      <w:divsChild>
        <w:div w:id="971594007">
          <w:marLeft w:val="0"/>
          <w:marRight w:val="0"/>
          <w:marTop w:val="0"/>
          <w:marBottom w:val="0"/>
          <w:divBdr>
            <w:top w:val="none" w:sz="0" w:space="0" w:color="auto"/>
            <w:left w:val="none" w:sz="0" w:space="0" w:color="auto"/>
            <w:bottom w:val="none" w:sz="0" w:space="0" w:color="auto"/>
            <w:right w:val="none" w:sz="0" w:space="0" w:color="auto"/>
          </w:divBdr>
        </w:div>
        <w:div w:id="1150485472">
          <w:marLeft w:val="0"/>
          <w:marRight w:val="0"/>
          <w:marTop w:val="0"/>
          <w:marBottom w:val="0"/>
          <w:divBdr>
            <w:top w:val="none" w:sz="0" w:space="0" w:color="auto"/>
            <w:left w:val="none" w:sz="0" w:space="0" w:color="auto"/>
            <w:bottom w:val="none" w:sz="0" w:space="0" w:color="auto"/>
            <w:right w:val="none" w:sz="0" w:space="0" w:color="auto"/>
          </w:divBdr>
        </w:div>
        <w:div w:id="1985575523">
          <w:marLeft w:val="0"/>
          <w:marRight w:val="0"/>
          <w:marTop w:val="0"/>
          <w:marBottom w:val="0"/>
          <w:divBdr>
            <w:top w:val="none" w:sz="0" w:space="0" w:color="auto"/>
            <w:left w:val="none" w:sz="0" w:space="0" w:color="auto"/>
            <w:bottom w:val="none" w:sz="0" w:space="0" w:color="auto"/>
            <w:right w:val="none" w:sz="0" w:space="0" w:color="auto"/>
          </w:divBdr>
        </w:div>
      </w:divsChild>
    </w:div>
    <w:div w:id="1875730227">
      <w:bodyDiv w:val="1"/>
      <w:marLeft w:val="0"/>
      <w:marRight w:val="0"/>
      <w:marTop w:val="0"/>
      <w:marBottom w:val="0"/>
      <w:divBdr>
        <w:top w:val="none" w:sz="0" w:space="0" w:color="auto"/>
        <w:left w:val="none" w:sz="0" w:space="0" w:color="auto"/>
        <w:bottom w:val="none" w:sz="0" w:space="0" w:color="auto"/>
        <w:right w:val="none" w:sz="0" w:space="0" w:color="auto"/>
      </w:divBdr>
    </w:div>
    <w:div w:id="1900629455">
      <w:bodyDiv w:val="1"/>
      <w:marLeft w:val="0"/>
      <w:marRight w:val="0"/>
      <w:marTop w:val="0"/>
      <w:marBottom w:val="0"/>
      <w:divBdr>
        <w:top w:val="none" w:sz="0" w:space="0" w:color="auto"/>
        <w:left w:val="none" w:sz="0" w:space="0" w:color="auto"/>
        <w:bottom w:val="none" w:sz="0" w:space="0" w:color="auto"/>
        <w:right w:val="none" w:sz="0" w:space="0" w:color="auto"/>
      </w:divBdr>
      <w:divsChild>
        <w:div w:id="91896746">
          <w:marLeft w:val="0"/>
          <w:marRight w:val="0"/>
          <w:marTop w:val="0"/>
          <w:marBottom w:val="0"/>
          <w:divBdr>
            <w:top w:val="none" w:sz="0" w:space="0" w:color="auto"/>
            <w:left w:val="none" w:sz="0" w:space="0" w:color="auto"/>
            <w:bottom w:val="none" w:sz="0" w:space="0" w:color="auto"/>
            <w:right w:val="none" w:sz="0" w:space="0" w:color="auto"/>
          </w:divBdr>
        </w:div>
      </w:divsChild>
    </w:div>
    <w:div w:id="2015187066">
      <w:bodyDiv w:val="1"/>
      <w:marLeft w:val="0"/>
      <w:marRight w:val="0"/>
      <w:marTop w:val="0"/>
      <w:marBottom w:val="0"/>
      <w:divBdr>
        <w:top w:val="none" w:sz="0" w:space="0" w:color="auto"/>
        <w:left w:val="none" w:sz="0" w:space="0" w:color="auto"/>
        <w:bottom w:val="none" w:sz="0" w:space="0" w:color="auto"/>
        <w:right w:val="none" w:sz="0" w:space="0" w:color="auto"/>
      </w:divBdr>
      <w:divsChild>
        <w:div w:id="953487351">
          <w:marLeft w:val="0"/>
          <w:marRight w:val="0"/>
          <w:marTop w:val="0"/>
          <w:marBottom w:val="0"/>
          <w:divBdr>
            <w:top w:val="none" w:sz="0" w:space="0" w:color="auto"/>
            <w:left w:val="none" w:sz="0" w:space="0" w:color="auto"/>
            <w:bottom w:val="none" w:sz="0" w:space="0" w:color="auto"/>
            <w:right w:val="none" w:sz="0" w:space="0" w:color="auto"/>
          </w:divBdr>
          <w:divsChild>
            <w:div w:id="316883043">
              <w:marLeft w:val="0"/>
              <w:marRight w:val="0"/>
              <w:marTop w:val="0"/>
              <w:marBottom w:val="0"/>
              <w:divBdr>
                <w:top w:val="none" w:sz="0" w:space="0" w:color="auto"/>
                <w:left w:val="none" w:sz="0" w:space="0" w:color="auto"/>
                <w:bottom w:val="none" w:sz="0" w:space="0" w:color="auto"/>
                <w:right w:val="none" w:sz="0" w:space="0" w:color="auto"/>
              </w:divBdr>
            </w:div>
            <w:div w:id="505944037">
              <w:marLeft w:val="0"/>
              <w:marRight w:val="0"/>
              <w:marTop w:val="0"/>
              <w:marBottom w:val="0"/>
              <w:divBdr>
                <w:top w:val="none" w:sz="0" w:space="0" w:color="auto"/>
                <w:left w:val="none" w:sz="0" w:space="0" w:color="auto"/>
                <w:bottom w:val="none" w:sz="0" w:space="0" w:color="auto"/>
                <w:right w:val="none" w:sz="0" w:space="0" w:color="auto"/>
              </w:divBdr>
            </w:div>
            <w:div w:id="512379183">
              <w:marLeft w:val="0"/>
              <w:marRight w:val="0"/>
              <w:marTop w:val="0"/>
              <w:marBottom w:val="0"/>
              <w:divBdr>
                <w:top w:val="none" w:sz="0" w:space="0" w:color="auto"/>
                <w:left w:val="none" w:sz="0" w:space="0" w:color="auto"/>
                <w:bottom w:val="none" w:sz="0" w:space="0" w:color="auto"/>
                <w:right w:val="none" w:sz="0" w:space="0" w:color="auto"/>
              </w:divBdr>
            </w:div>
            <w:div w:id="103299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608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oleObject" Target="embeddings/Microsoft_Visio_2003-2010_Drawing.vsd"/><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package" Target="embeddings/Microsoft_Visio_Drawing.vsdx"/><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emf"/><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7" Type="http://schemas.microsoft.com/office/2016/09/relationships/commentsIds" Target="commentsIds.xml"/></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5.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LEITCH\AppData\Roaming\Microsoft\Templates\gcgeneric.dotm" TargetMode="External"/></Relationships>
</file>

<file path=word/theme/theme1.xml><?xml version="1.0" encoding="utf-8"?>
<a:theme xmlns:a="http://schemas.openxmlformats.org/drawingml/2006/main" name="2020 VIS">
  <a:themeElements>
    <a:clrScheme name="Gartner_2020">
      <a:dk1>
        <a:srgbClr val="000000"/>
      </a:dk1>
      <a:lt1>
        <a:srgbClr val="FFFFFF"/>
      </a:lt1>
      <a:dk2>
        <a:srgbClr val="002856"/>
      </a:dk2>
      <a:lt2>
        <a:srgbClr val="FFFFFF"/>
      </a:lt2>
      <a:accent1>
        <a:srgbClr val="002856"/>
      </a:accent1>
      <a:accent2>
        <a:srgbClr val="A7AFAF"/>
      </a:accent2>
      <a:accent3>
        <a:srgbClr val="E2E4E4"/>
      </a:accent3>
      <a:accent4>
        <a:srgbClr val="009AD7"/>
      </a:accent4>
      <a:accent5>
        <a:srgbClr val="FF540A"/>
      </a:accent5>
      <a:accent6>
        <a:srgbClr val="FEC10D"/>
      </a:accent6>
      <a:hlink>
        <a:srgbClr val="0052D7"/>
      </a:hlink>
      <a:folHlink>
        <a:srgbClr val="0045B5"/>
      </a:folHlink>
    </a:clrScheme>
    <a:fontScheme name="Custom 1">
      <a:majorFont>
        <a:latin typeface="Arial Black"/>
        <a:ea typeface=""/>
        <a:cs typeface=""/>
      </a:majorFont>
      <a:minorFont>
        <a:latin typeface="Arial"/>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D3D3D3"/>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defPPr algn="ctr">
          <a:defRPr dirty="0"/>
        </a:defPPr>
      </a:lstStyle>
      <a:style>
        <a:lnRef idx="2">
          <a:schemeClr val="accent1">
            <a:shade val="50000"/>
          </a:schemeClr>
        </a:lnRef>
        <a:fillRef idx="1">
          <a:schemeClr val="accent1"/>
        </a:fillRef>
        <a:effectRef idx="0">
          <a:schemeClr val="accent1"/>
        </a:effectRef>
        <a:fontRef idx="minor">
          <a:schemeClr val="lt1"/>
        </a:fontRef>
      </a:style>
    </a:spDef>
    <a:lnDef>
      <a:spPr>
        <a:ln w="12700">
          <a:solidFill>
            <a:schemeClr val="accent2"/>
          </a:solidFill>
        </a:ln>
      </a:spPr>
      <a:bodyPr/>
      <a:lstStyle/>
      <a:style>
        <a:lnRef idx="1">
          <a:schemeClr val="accent1"/>
        </a:lnRef>
        <a:fillRef idx="0">
          <a:schemeClr val="accent1"/>
        </a:fillRef>
        <a:effectRef idx="0">
          <a:schemeClr val="accent1"/>
        </a:effectRef>
        <a:fontRef idx="minor">
          <a:schemeClr val="tx1"/>
        </a:fontRef>
      </a:style>
    </a:lnDef>
    <a:txDef>
      <a:spPr>
        <a:noFill/>
      </a:spPr>
      <a:bodyPr wrap="none" lIns="0" rtlCol="0">
        <a:spAutoFit/>
      </a:bodyPr>
      <a:lstStyle>
        <a:defPPr>
          <a:defRPr dirty="0" smtClean="0"/>
        </a:defPPr>
      </a:lstStyle>
    </a:txDef>
  </a:objectDefaults>
  <a:extraClrSchemeLst/>
  <a:custClrLst>
    <a:custClr name="GBlue">
      <a:srgbClr val="002856"/>
    </a:custClr>
    <a:custClr name="Sky">
      <a:srgbClr val="009AD7"/>
    </a:custClr>
    <a:custClr name="Surf">
      <a:srgbClr val="06C4B0"/>
    </a:custClr>
    <a:custClr name="Tangerine">
      <a:srgbClr val="FF540A"/>
    </a:custClr>
    <a:custClr name="Lemon">
      <a:srgbClr val="FEC10D"/>
    </a:custClr>
    <a:custClr name="Rose">
      <a:srgbClr val="E81159"/>
    </a:custClr>
    <a:custClr name="White">
      <a:srgbClr val="FFFFFF"/>
    </a:custClr>
    <a:custClr name="Steel">
      <a:srgbClr val="6F7878"/>
    </a:custClr>
    <a:custClr name="Black">
      <a:srgbClr val="000000"/>
    </a:custClr>
    <a:custClr name="Error Red">
      <a:srgbClr val="DE0A01"/>
    </a:custClr>
    <a:custClr name="GBlue Tint1">
      <a:srgbClr val="6A80A3"/>
    </a:custClr>
    <a:custClr name="Sky Tint1">
      <a:srgbClr val="49C5F4"/>
    </a:custClr>
    <a:custClr name="Surf Tint1">
      <a:srgbClr val="4EDCCA"/>
    </a:custClr>
    <a:custClr name="Tangerine Tint1">
      <a:srgbClr val="FF986C"/>
    </a:custClr>
    <a:custClr name="Lemon Tint1">
      <a:srgbClr val="FEDA6E"/>
    </a:custClr>
    <a:custClr name="Rose Tint1">
      <a:srgbClr val="F4729D"/>
    </a:custClr>
    <a:custClr name="White">
      <a:srgbClr val="FFFFFF"/>
    </a:custClr>
    <a:custClr name="Steel Tint1">
      <a:srgbClr val="979D9D"/>
    </a:custClr>
    <a:custClr name="White">
      <a:srgbClr val="FFFFFF"/>
    </a:custClr>
    <a:custClr name="Warning Yellow">
      <a:srgbClr val="F5AB23"/>
    </a:custClr>
    <a:custClr name="GBlue Tint2">
      <a:srgbClr val="A1B3CA"/>
    </a:custClr>
    <a:custClr name="Sky Tint2">
      <a:srgbClr val="91DCF8"/>
    </a:custClr>
    <a:custClr name="Surf Tint2">
      <a:srgbClr val="95EADF"/>
    </a:custClr>
    <a:custClr name="Tangerine Tint2">
      <a:srgbClr val="FBC9A6"/>
    </a:custClr>
    <a:custClr name="Lemon Tint2">
      <a:srgbClr val="FFEDB3"/>
    </a:custClr>
    <a:custClr name="Rose Tint2">
      <a:srgbClr val="F9C1D2"/>
    </a:custClr>
    <a:custClr name="White">
      <a:srgbClr val="FFFFFF"/>
    </a:custClr>
    <a:custClr name="Steel Tint2">
      <a:srgbClr val="BDBDBD"/>
    </a:custClr>
    <a:custClr name="White">
      <a:srgbClr val="FFFFFF"/>
    </a:custClr>
    <a:custClr name="Success Green">
      <a:srgbClr val="00A76D"/>
    </a:custClr>
    <a:custClr name="GBlue Tint3">
      <a:srgbClr val="D0DEEA"/>
    </a:custClr>
    <a:custClr name="Sky Dark1">
      <a:srgbClr val="0073A1"/>
    </a:custClr>
    <a:custClr name="Surf Dark1">
      <a:srgbClr val="048D7F"/>
    </a:custClr>
    <a:custClr name="Tangerine Dark1">
      <a:srgbClr val="BF3F07"/>
    </a:custClr>
    <a:custClr name="Lemon Dark1">
      <a:srgbClr val="BE910A"/>
    </a:custClr>
    <a:custClr name="Rose Dark1">
      <a:srgbClr val="AE0D43"/>
    </a:custClr>
    <a:custClr name="White">
      <a:srgbClr val="FFFFFF"/>
    </a:custClr>
    <a:custClr name="Steel Tint3">
      <a:srgbClr val="D3D3D3"/>
    </a:custClr>
    <a:custClr name="White">
      <a:srgbClr val="FFFFFF"/>
    </a:custClr>
    <a:custClr name="Background Gray">
      <a:srgbClr val="F4F4F4"/>
    </a:custClr>
    <a:custClr name="GBlue Dark1">
      <a:srgbClr val="355578"/>
    </a:custClr>
    <a:custClr name="Sky Dark2">
      <a:srgbClr val="004D6B"/>
    </a:custClr>
    <a:custClr name="Surf Dark2">
      <a:srgbClr val="036258"/>
    </a:custClr>
    <a:custClr name="Tangerine Dark2">
      <a:srgbClr val="7F2A05"/>
    </a:custClr>
    <a:custClr name="Lemon Dark2">
      <a:srgbClr val="7F6006"/>
    </a:custClr>
    <a:custClr name="Rose Dark2">
      <a:srgbClr val="74082C"/>
    </a:custClr>
    <a:custClr name="White">
      <a:srgbClr val="FFFFFF"/>
    </a:custClr>
    <a:custClr name="Steel Dark">
      <a:srgbClr val="535A5A"/>
    </a:custClr>
    <a:custClr name="White">
      <a:srgbClr val="FFFFFF"/>
    </a:custClr>
    <a:custClr name="White">
      <a:srgbClr val="FFFFFF"/>
    </a:custClr>
  </a:custClrLst>
  <a:extLst>
    <a:ext uri="{05A4C25C-085E-4340-85A3-A5531E510DB2}">
      <thm15:themeFamily xmlns:thm15="http://schemas.microsoft.com/office/thememl/2012/main" name="2020 VIS" id="{C708E4E0-368E-4A9F-A408-AB6E3FC5FE2D}" vid="{27A056EA-98A1-43B7-9399-368E7CA354C8}"/>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Category xmlns="bc904590-817d-4546-93c9-e39b499093cd" xsi:nil="true"/>
    <SharedWithUsers xmlns="32249c65-da49-47e9-984a-f0159a6f027c">
      <UserInfo>
        <DisplayName/>
        <AccountId xsi:nil="true"/>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Core Metadata" ma:contentTypeID="0x010100BAD75EA75CD83B45A34259F0B184D0270046BCFC8BEE9F164099E99F62FD0393EA" ma:contentTypeVersion="7" ma:contentTypeDescription="" ma:contentTypeScope="" ma:versionID="1e8a9f24733fe73a7717a88fa0de98ad">
  <xsd:schema xmlns:xsd="http://www.w3.org/2001/XMLSchema" xmlns:xs="http://www.w3.org/2001/XMLSchema" xmlns:p="http://schemas.microsoft.com/office/2006/metadata/properties" xmlns:ns2="bc904590-817d-4546-93c9-e39b499093cd" xmlns:ns3="32249c65-da49-47e9-984a-f0159a6f027c" targetNamespace="http://schemas.microsoft.com/office/2006/metadata/properties" ma:root="true" ma:fieldsID="d8c4bfb369d5556e1041efa7c877978d" ns2:_="" ns3:_="">
    <xsd:import namespace="bc904590-817d-4546-93c9-e39b499093cd"/>
    <xsd:import namespace="32249c65-da49-47e9-984a-f0159a6f027c"/>
    <xsd:element name="properties">
      <xsd:complexType>
        <xsd:sequence>
          <xsd:element name="documentManagement">
            <xsd:complexType>
              <xsd:all>
                <xsd:element ref="ns3:SharedWithUsers" minOccurs="0"/>
                <xsd:element ref="ns2: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904590-817d-4546-93c9-e39b499093cd" elementFormDefault="qualified">
    <xsd:import namespace="http://schemas.microsoft.com/office/2006/documentManagement/types"/>
    <xsd:import namespace="http://schemas.microsoft.com/office/infopath/2007/PartnerControls"/>
    <xsd:element name="Category" ma:index="10" nillable="true" ma:displayName="Category" ma:default="Stem Cell 2024" ma:format="Dropdown" ma:internalName="Category">
      <xsd:simpleType>
        <xsd:union memberTypes="dms:Text">
          <xsd:simpleType>
            <xsd:restriction base="dms:Choice">
              <xsd:enumeration value="Landing Page"/>
              <xsd:enumeration value="Grants Page"/>
              <xsd:enumeration value="Ongoing Grants"/>
              <xsd:enumeration value="RFA 5356 DD"/>
              <xsd:enumeration value="RFA 5486 SOAR"/>
              <xsd:enumeration value="RFA 4461 CFS DV &amp; SA"/>
              <xsd:enumeration value="RFA 5626 Food Security"/>
              <xsd:enumeration value="RFA 5622 Food Bank"/>
              <xsd:enumeration value="RFA 5699 Clearinghouse"/>
              <xsd:enumeration value="RFA 3934 SNAP"/>
              <xsd:enumeration value="RFA 5669 PHHS Block Grants"/>
              <xsd:enumeration value="RFA 4693 Stem Cell"/>
              <xsd:enumeration value="RFI 5329 MLTC A&amp;D Networks"/>
              <xsd:enumeration value="Contracts Page"/>
              <xsd:enumeration value="Ongoing Contracts"/>
              <xsd:enumeration value="RFQ iServe"/>
              <xsd:enumeration value="RFQ 5515 Tiered Foster Care"/>
              <xsd:enumeration value="RFQ Interpreters"/>
              <xsd:enumeration value="RFP MCO"/>
              <xsd:enumeration value="Funding Announcement - Lifespan"/>
              <xsd:enumeration value="Other"/>
              <xsd:enumeration value="RFQ NHAP"/>
              <xsd:enumeration value="AccessNe"/>
              <xsd:enumeration value="Serve Nebraska"/>
              <xsd:enumeration value="Vaccines for Children"/>
              <xsd:enumeration value="5553 Transitional Living Housing"/>
              <xsd:enumeration value="6124 NCDD HCBS"/>
              <xsd:enumeration value="6129 Employment Focus"/>
              <xsd:enumeration value="6137 NCDD Opportunity"/>
              <xsd:enumeration value="5965 SNAP E&amp;T"/>
              <xsd:enumeration value="6327 NDCC Opportunity"/>
              <xsd:enumeration value="6038 NDCC home and community"/>
              <xsd:enumeration value="NHAP 2024"/>
              <xsd:enumeration value="SOAR 2024"/>
              <xsd:enumeration value="6418 Adolescent Reproductive Health"/>
              <xsd:enumeration value="6413 Title V MCH"/>
              <xsd:enumeration value="Stem Cell 2024"/>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32249c65-da49-47e9-984a-f0159a6f027c" elementFormDefault="qualified">
    <xsd:import namespace="http://schemas.microsoft.com/office/2006/documentManagement/types"/>
    <xsd:import namespace="http://schemas.microsoft.com/office/infopath/2007/PartnerControls"/>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B277806-F467-4801-B959-3D74B38F8B9F}"/>
</file>

<file path=customXml/itemProps2.xml><?xml version="1.0" encoding="utf-8"?>
<ds:datastoreItem xmlns:ds="http://schemas.openxmlformats.org/officeDocument/2006/customXml" ds:itemID="{2F710FA0-489E-4D09-930C-F8F34C83A320}"/>
</file>

<file path=customXml/itemProps3.xml><?xml version="1.0" encoding="utf-8"?>
<ds:datastoreItem xmlns:ds="http://schemas.openxmlformats.org/officeDocument/2006/customXml" ds:itemID="{729125DA-C20B-48D1-93B0-EDFA4D4953F1}"/>
</file>

<file path=customXml/itemProps4.xml><?xml version="1.0" encoding="utf-8"?>
<ds:datastoreItem xmlns:ds="http://schemas.openxmlformats.org/officeDocument/2006/customXml" ds:itemID="{3C4BF661-3C0D-49CC-B3D9-994EE6969B3F}"/>
</file>

<file path=docProps/app.xml><?xml version="1.0" encoding="utf-8"?>
<Properties xmlns="http://schemas.openxmlformats.org/officeDocument/2006/extended-properties" xmlns:vt="http://schemas.openxmlformats.org/officeDocument/2006/docPropsVTypes">
  <Template>gcgeneric</Template>
  <TotalTime>3</TotalTime>
  <Pages>10</Pages>
  <Words>3178</Words>
  <Characters>17967</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DocumentTitle</vt:lpstr>
    </vt:vector>
  </TitlesOfParts>
  <Company>Gartner</Company>
  <LinksUpToDate>false</LinksUpToDate>
  <CharactersWithSpaces>21103</CharactersWithSpaces>
  <SharedDoc>false</SharedDoc>
  <HLinks>
    <vt:vector size="960" baseType="variant">
      <vt:variant>
        <vt:i4>1114143</vt:i4>
      </vt:variant>
      <vt:variant>
        <vt:i4>855</vt:i4>
      </vt:variant>
      <vt:variant>
        <vt:i4>0</vt:i4>
      </vt:variant>
      <vt:variant>
        <vt:i4>5</vt:i4>
      </vt:variant>
      <vt:variant>
        <vt:lpwstr>https://it.nc.gov/vendor-engagement-resources%23dit-services</vt:lpwstr>
      </vt:variant>
      <vt:variant>
        <vt:lpwstr/>
      </vt:variant>
      <vt:variant>
        <vt:i4>1572932</vt:i4>
      </vt:variant>
      <vt:variant>
        <vt:i4>834</vt:i4>
      </vt:variant>
      <vt:variant>
        <vt:i4>0</vt:i4>
      </vt:variant>
      <vt:variant>
        <vt:i4>5</vt:i4>
      </vt:variant>
      <vt:variant>
        <vt:lpwstr>http://dhhs.ne.gov/Documents/DHHS Grievance Protest Procedures for Vendors 20180320.pdf</vt:lpwstr>
      </vt:variant>
      <vt:variant>
        <vt:lpwstr>search=protest</vt:lpwstr>
      </vt:variant>
      <vt:variant>
        <vt:i4>1310735</vt:i4>
      </vt:variant>
      <vt:variant>
        <vt:i4>831</vt:i4>
      </vt:variant>
      <vt:variant>
        <vt:i4>0</vt:i4>
      </vt:variant>
      <vt:variant>
        <vt:i4>5</vt:i4>
      </vt:variant>
      <vt:variant>
        <vt:lpwstr>http://das.nebraska.gov/materiel/purchasing.html</vt:lpwstr>
      </vt:variant>
      <vt:variant>
        <vt:lpwstr/>
      </vt:variant>
      <vt:variant>
        <vt:i4>1572932</vt:i4>
      </vt:variant>
      <vt:variant>
        <vt:i4>828</vt:i4>
      </vt:variant>
      <vt:variant>
        <vt:i4>0</vt:i4>
      </vt:variant>
      <vt:variant>
        <vt:i4>5</vt:i4>
      </vt:variant>
      <vt:variant>
        <vt:lpwstr>http://dhhs.ne.gov/Documents/DHHS Grievance Protest Procedures for Vendors 20180320.pdf</vt:lpwstr>
      </vt:variant>
      <vt:variant>
        <vt:lpwstr>search=protest</vt:lpwstr>
      </vt:variant>
      <vt:variant>
        <vt:i4>5832762</vt:i4>
      </vt:variant>
      <vt:variant>
        <vt:i4>825</vt:i4>
      </vt:variant>
      <vt:variant>
        <vt:i4>0</vt:i4>
      </vt:variant>
      <vt:variant>
        <vt:i4>5</vt:i4>
      </vt:variant>
      <vt:variant>
        <vt:lpwstr>http://das.nebraska.gov/materiel/purchase_bureau/vendor/agency-rfp.html</vt:lpwstr>
      </vt:variant>
      <vt:variant>
        <vt:lpwstr/>
      </vt:variant>
      <vt:variant>
        <vt:i4>5832762</vt:i4>
      </vt:variant>
      <vt:variant>
        <vt:i4>822</vt:i4>
      </vt:variant>
      <vt:variant>
        <vt:i4>0</vt:i4>
      </vt:variant>
      <vt:variant>
        <vt:i4>5</vt:i4>
      </vt:variant>
      <vt:variant>
        <vt:lpwstr>http://das.nebraska.gov/materiel/purchase_bureau/vendor/agency-rfp.html</vt:lpwstr>
      </vt:variant>
      <vt:variant>
        <vt:lpwstr/>
      </vt:variant>
      <vt:variant>
        <vt:i4>1310735</vt:i4>
      </vt:variant>
      <vt:variant>
        <vt:i4>819</vt:i4>
      </vt:variant>
      <vt:variant>
        <vt:i4>0</vt:i4>
      </vt:variant>
      <vt:variant>
        <vt:i4>5</vt:i4>
      </vt:variant>
      <vt:variant>
        <vt:lpwstr>http://das.nebraska.gov/materiel/purchasing.html</vt:lpwstr>
      </vt:variant>
      <vt:variant>
        <vt:lpwstr/>
      </vt:variant>
      <vt:variant>
        <vt:i4>1310735</vt:i4>
      </vt:variant>
      <vt:variant>
        <vt:i4>816</vt:i4>
      </vt:variant>
      <vt:variant>
        <vt:i4>0</vt:i4>
      </vt:variant>
      <vt:variant>
        <vt:i4>5</vt:i4>
      </vt:variant>
      <vt:variant>
        <vt:lpwstr>http://das.nebraska.gov/materiel/purchasing.html</vt:lpwstr>
      </vt:variant>
      <vt:variant>
        <vt:lpwstr/>
      </vt:variant>
      <vt:variant>
        <vt:i4>1900656</vt:i4>
      </vt:variant>
      <vt:variant>
        <vt:i4>813</vt:i4>
      </vt:variant>
      <vt:variant>
        <vt:i4>0</vt:i4>
      </vt:variant>
      <vt:variant>
        <vt:i4>5</vt:i4>
      </vt:variant>
      <vt:variant>
        <vt:lpwstr>mailto:dhhs.rfpquestions@nebraska.gov</vt:lpwstr>
      </vt:variant>
      <vt:variant>
        <vt:lpwstr/>
      </vt:variant>
      <vt:variant>
        <vt:i4>1310735</vt:i4>
      </vt:variant>
      <vt:variant>
        <vt:i4>810</vt:i4>
      </vt:variant>
      <vt:variant>
        <vt:i4>0</vt:i4>
      </vt:variant>
      <vt:variant>
        <vt:i4>5</vt:i4>
      </vt:variant>
      <vt:variant>
        <vt:lpwstr>http://das.nebraska.gov/materiel/purchasing.html</vt:lpwstr>
      </vt:variant>
      <vt:variant>
        <vt:lpwstr/>
      </vt:variant>
      <vt:variant>
        <vt:i4>1310735</vt:i4>
      </vt:variant>
      <vt:variant>
        <vt:i4>807</vt:i4>
      </vt:variant>
      <vt:variant>
        <vt:i4>0</vt:i4>
      </vt:variant>
      <vt:variant>
        <vt:i4>5</vt:i4>
      </vt:variant>
      <vt:variant>
        <vt:lpwstr>http://das.nebraska.gov/materiel/purchasing.html</vt:lpwstr>
      </vt:variant>
      <vt:variant>
        <vt:lpwstr/>
      </vt:variant>
      <vt:variant>
        <vt:i4>1900656</vt:i4>
      </vt:variant>
      <vt:variant>
        <vt:i4>804</vt:i4>
      </vt:variant>
      <vt:variant>
        <vt:i4>0</vt:i4>
      </vt:variant>
      <vt:variant>
        <vt:i4>5</vt:i4>
      </vt:variant>
      <vt:variant>
        <vt:lpwstr>mailto:dhhs.rfpquestions@nebraska.gov</vt:lpwstr>
      </vt:variant>
      <vt:variant>
        <vt:lpwstr/>
      </vt:variant>
      <vt:variant>
        <vt:i4>1441846</vt:i4>
      </vt:variant>
      <vt:variant>
        <vt:i4>797</vt:i4>
      </vt:variant>
      <vt:variant>
        <vt:i4>0</vt:i4>
      </vt:variant>
      <vt:variant>
        <vt:i4>5</vt:i4>
      </vt:variant>
      <vt:variant>
        <vt:lpwstr/>
      </vt:variant>
      <vt:variant>
        <vt:lpwstr>_Toc51612170</vt:lpwstr>
      </vt:variant>
      <vt:variant>
        <vt:i4>2031671</vt:i4>
      </vt:variant>
      <vt:variant>
        <vt:i4>791</vt:i4>
      </vt:variant>
      <vt:variant>
        <vt:i4>0</vt:i4>
      </vt:variant>
      <vt:variant>
        <vt:i4>5</vt:i4>
      </vt:variant>
      <vt:variant>
        <vt:lpwstr/>
      </vt:variant>
      <vt:variant>
        <vt:lpwstr>_Toc51612169</vt:lpwstr>
      </vt:variant>
      <vt:variant>
        <vt:i4>1966135</vt:i4>
      </vt:variant>
      <vt:variant>
        <vt:i4>785</vt:i4>
      </vt:variant>
      <vt:variant>
        <vt:i4>0</vt:i4>
      </vt:variant>
      <vt:variant>
        <vt:i4>5</vt:i4>
      </vt:variant>
      <vt:variant>
        <vt:lpwstr/>
      </vt:variant>
      <vt:variant>
        <vt:lpwstr>_Toc51612168</vt:lpwstr>
      </vt:variant>
      <vt:variant>
        <vt:i4>1114167</vt:i4>
      </vt:variant>
      <vt:variant>
        <vt:i4>779</vt:i4>
      </vt:variant>
      <vt:variant>
        <vt:i4>0</vt:i4>
      </vt:variant>
      <vt:variant>
        <vt:i4>5</vt:i4>
      </vt:variant>
      <vt:variant>
        <vt:lpwstr/>
      </vt:variant>
      <vt:variant>
        <vt:lpwstr>_Toc51612167</vt:lpwstr>
      </vt:variant>
      <vt:variant>
        <vt:i4>1048631</vt:i4>
      </vt:variant>
      <vt:variant>
        <vt:i4>773</vt:i4>
      </vt:variant>
      <vt:variant>
        <vt:i4>0</vt:i4>
      </vt:variant>
      <vt:variant>
        <vt:i4>5</vt:i4>
      </vt:variant>
      <vt:variant>
        <vt:lpwstr/>
      </vt:variant>
      <vt:variant>
        <vt:lpwstr>_Toc51612166</vt:lpwstr>
      </vt:variant>
      <vt:variant>
        <vt:i4>1245239</vt:i4>
      </vt:variant>
      <vt:variant>
        <vt:i4>767</vt:i4>
      </vt:variant>
      <vt:variant>
        <vt:i4>0</vt:i4>
      </vt:variant>
      <vt:variant>
        <vt:i4>5</vt:i4>
      </vt:variant>
      <vt:variant>
        <vt:lpwstr/>
      </vt:variant>
      <vt:variant>
        <vt:lpwstr>_Toc51612165</vt:lpwstr>
      </vt:variant>
      <vt:variant>
        <vt:i4>1179703</vt:i4>
      </vt:variant>
      <vt:variant>
        <vt:i4>761</vt:i4>
      </vt:variant>
      <vt:variant>
        <vt:i4>0</vt:i4>
      </vt:variant>
      <vt:variant>
        <vt:i4>5</vt:i4>
      </vt:variant>
      <vt:variant>
        <vt:lpwstr/>
      </vt:variant>
      <vt:variant>
        <vt:lpwstr>_Toc51612164</vt:lpwstr>
      </vt:variant>
      <vt:variant>
        <vt:i4>1376311</vt:i4>
      </vt:variant>
      <vt:variant>
        <vt:i4>755</vt:i4>
      </vt:variant>
      <vt:variant>
        <vt:i4>0</vt:i4>
      </vt:variant>
      <vt:variant>
        <vt:i4>5</vt:i4>
      </vt:variant>
      <vt:variant>
        <vt:lpwstr/>
      </vt:variant>
      <vt:variant>
        <vt:lpwstr>_Toc51612163</vt:lpwstr>
      </vt:variant>
      <vt:variant>
        <vt:i4>1310775</vt:i4>
      </vt:variant>
      <vt:variant>
        <vt:i4>749</vt:i4>
      </vt:variant>
      <vt:variant>
        <vt:i4>0</vt:i4>
      </vt:variant>
      <vt:variant>
        <vt:i4>5</vt:i4>
      </vt:variant>
      <vt:variant>
        <vt:lpwstr/>
      </vt:variant>
      <vt:variant>
        <vt:lpwstr>_Toc51612162</vt:lpwstr>
      </vt:variant>
      <vt:variant>
        <vt:i4>1507383</vt:i4>
      </vt:variant>
      <vt:variant>
        <vt:i4>743</vt:i4>
      </vt:variant>
      <vt:variant>
        <vt:i4>0</vt:i4>
      </vt:variant>
      <vt:variant>
        <vt:i4>5</vt:i4>
      </vt:variant>
      <vt:variant>
        <vt:lpwstr/>
      </vt:variant>
      <vt:variant>
        <vt:lpwstr>_Toc51612161</vt:lpwstr>
      </vt:variant>
      <vt:variant>
        <vt:i4>1441847</vt:i4>
      </vt:variant>
      <vt:variant>
        <vt:i4>737</vt:i4>
      </vt:variant>
      <vt:variant>
        <vt:i4>0</vt:i4>
      </vt:variant>
      <vt:variant>
        <vt:i4>5</vt:i4>
      </vt:variant>
      <vt:variant>
        <vt:lpwstr/>
      </vt:variant>
      <vt:variant>
        <vt:lpwstr>_Toc51612160</vt:lpwstr>
      </vt:variant>
      <vt:variant>
        <vt:i4>2031668</vt:i4>
      </vt:variant>
      <vt:variant>
        <vt:i4>731</vt:i4>
      </vt:variant>
      <vt:variant>
        <vt:i4>0</vt:i4>
      </vt:variant>
      <vt:variant>
        <vt:i4>5</vt:i4>
      </vt:variant>
      <vt:variant>
        <vt:lpwstr/>
      </vt:variant>
      <vt:variant>
        <vt:lpwstr>_Toc51612159</vt:lpwstr>
      </vt:variant>
      <vt:variant>
        <vt:i4>1966132</vt:i4>
      </vt:variant>
      <vt:variant>
        <vt:i4>725</vt:i4>
      </vt:variant>
      <vt:variant>
        <vt:i4>0</vt:i4>
      </vt:variant>
      <vt:variant>
        <vt:i4>5</vt:i4>
      </vt:variant>
      <vt:variant>
        <vt:lpwstr/>
      </vt:variant>
      <vt:variant>
        <vt:lpwstr>_Toc51612158</vt:lpwstr>
      </vt:variant>
      <vt:variant>
        <vt:i4>1114164</vt:i4>
      </vt:variant>
      <vt:variant>
        <vt:i4>719</vt:i4>
      </vt:variant>
      <vt:variant>
        <vt:i4>0</vt:i4>
      </vt:variant>
      <vt:variant>
        <vt:i4>5</vt:i4>
      </vt:variant>
      <vt:variant>
        <vt:lpwstr/>
      </vt:variant>
      <vt:variant>
        <vt:lpwstr>_Toc51612157</vt:lpwstr>
      </vt:variant>
      <vt:variant>
        <vt:i4>1048628</vt:i4>
      </vt:variant>
      <vt:variant>
        <vt:i4>713</vt:i4>
      </vt:variant>
      <vt:variant>
        <vt:i4>0</vt:i4>
      </vt:variant>
      <vt:variant>
        <vt:i4>5</vt:i4>
      </vt:variant>
      <vt:variant>
        <vt:lpwstr/>
      </vt:variant>
      <vt:variant>
        <vt:lpwstr>_Toc51612156</vt:lpwstr>
      </vt:variant>
      <vt:variant>
        <vt:i4>1245236</vt:i4>
      </vt:variant>
      <vt:variant>
        <vt:i4>707</vt:i4>
      </vt:variant>
      <vt:variant>
        <vt:i4>0</vt:i4>
      </vt:variant>
      <vt:variant>
        <vt:i4>5</vt:i4>
      </vt:variant>
      <vt:variant>
        <vt:lpwstr/>
      </vt:variant>
      <vt:variant>
        <vt:lpwstr>_Toc51612155</vt:lpwstr>
      </vt:variant>
      <vt:variant>
        <vt:i4>1179700</vt:i4>
      </vt:variant>
      <vt:variant>
        <vt:i4>701</vt:i4>
      </vt:variant>
      <vt:variant>
        <vt:i4>0</vt:i4>
      </vt:variant>
      <vt:variant>
        <vt:i4>5</vt:i4>
      </vt:variant>
      <vt:variant>
        <vt:lpwstr/>
      </vt:variant>
      <vt:variant>
        <vt:lpwstr>_Toc51612154</vt:lpwstr>
      </vt:variant>
      <vt:variant>
        <vt:i4>1376308</vt:i4>
      </vt:variant>
      <vt:variant>
        <vt:i4>695</vt:i4>
      </vt:variant>
      <vt:variant>
        <vt:i4>0</vt:i4>
      </vt:variant>
      <vt:variant>
        <vt:i4>5</vt:i4>
      </vt:variant>
      <vt:variant>
        <vt:lpwstr/>
      </vt:variant>
      <vt:variant>
        <vt:lpwstr>_Toc51612153</vt:lpwstr>
      </vt:variant>
      <vt:variant>
        <vt:i4>1310772</vt:i4>
      </vt:variant>
      <vt:variant>
        <vt:i4>689</vt:i4>
      </vt:variant>
      <vt:variant>
        <vt:i4>0</vt:i4>
      </vt:variant>
      <vt:variant>
        <vt:i4>5</vt:i4>
      </vt:variant>
      <vt:variant>
        <vt:lpwstr/>
      </vt:variant>
      <vt:variant>
        <vt:lpwstr>_Toc51612152</vt:lpwstr>
      </vt:variant>
      <vt:variant>
        <vt:i4>1507380</vt:i4>
      </vt:variant>
      <vt:variant>
        <vt:i4>683</vt:i4>
      </vt:variant>
      <vt:variant>
        <vt:i4>0</vt:i4>
      </vt:variant>
      <vt:variant>
        <vt:i4>5</vt:i4>
      </vt:variant>
      <vt:variant>
        <vt:lpwstr/>
      </vt:variant>
      <vt:variant>
        <vt:lpwstr>_Toc51612151</vt:lpwstr>
      </vt:variant>
      <vt:variant>
        <vt:i4>1441844</vt:i4>
      </vt:variant>
      <vt:variant>
        <vt:i4>677</vt:i4>
      </vt:variant>
      <vt:variant>
        <vt:i4>0</vt:i4>
      </vt:variant>
      <vt:variant>
        <vt:i4>5</vt:i4>
      </vt:variant>
      <vt:variant>
        <vt:lpwstr/>
      </vt:variant>
      <vt:variant>
        <vt:lpwstr>_Toc51612150</vt:lpwstr>
      </vt:variant>
      <vt:variant>
        <vt:i4>2031669</vt:i4>
      </vt:variant>
      <vt:variant>
        <vt:i4>671</vt:i4>
      </vt:variant>
      <vt:variant>
        <vt:i4>0</vt:i4>
      </vt:variant>
      <vt:variant>
        <vt:i4>5</vt:i4>
      </vt:variant>
      <vt:variant>
        <vt:lpwstr/>
      </vt:variant>
      <vt:variant>
        <vt:lpwstr>_Toc51612149</vt:lpwstr>
      </vt:variant>
      <vt:variant>
        <vt:i4>1966133</vt:i4>
      </vt:variant>
      <vt:variant>
        <vt:i4>665</vt:i4>
      </vt:variant>
      <vt:variant>
        <vt:i4>0</vt:i4>
      </vt:variant>
      <vt:variant>
        <vt:i4>5</vt:i4>
      </vt:variant>
      <vt:variant>
        <vt:lpwstr/>
      </vt:variant>
      <vt:variant>
        <vt:lpwstr>_Toc51612148</vt:lpwstr>
      </vt:variant>
      <vt:variant>
        <vt:i4>1114165</vt:i4>
      </vt:variant>
      <vt:variant>
        <vt:i4>659</vt:i4>
      </vt:variant>
      <vt:variant>
        <vt:i4>0</vt:i4>
      </vt:variant>
      <vt:variant>
        <vt:i4>5</vt:i4>
      </vt:variant>
      <vt:variant>
        <vt:lpwstr/>
      </vt:variant>
      <vt:variant>
        <vt:lpwstr>_Toc51612147</vt:lpwstr>
      </vt:variant>
      <vt:variant>
        <vt:i4>1048629</vt:i4>
      </vt:variant>
      <vt:variant>
        <vt:i4>653</vt:i4>
      </vt:variant>
      <vt:variant>
        <vt:i4>0</vt:i4>
      </vt:variant>
      <vt:variant>
        <vt:i4>5</vt:i4>
      </vt:variant>
      <vt:variant>
        <vt:lpwstr/>
      </vt:variant>
      <vt:variant>
        <vt:lpwstr>_Toc51612146</vt:lpwstr>
      </vt:variant>
      <vt:variant>
        <vt:i4>1245237</vt:i4>
      </vt:variant>
      <vt:variant>
        <vt:i4>647</vt:i4>
      </vt:variant>
      <vt:variant>
        <vt:i4>0</vt:i4>
      </vt:variant>
      <vt:variant>
        <vt:i4>5</vt:i4>
      </vt:variant>
      <vt:variant>
        <vt:lpwstr/>
      </vt:variant>
      <vt:variant>
        <vt:lpwstr>_Toc51612145</vt:lpwstr>
      </vt:variant>
      <vt:variant>
        <vt:i4>1179701</vt:i4>
      </vt:variant>
      <vt:variant>
        <vt:i4>641</vt:i4>
      </vt:variant>
      <vt:variant>
        <vt:i4>0</vt:i4>
      </vt:variant>
      <vt:variant>
        <vt:i4>5</vt:i4>
      </vt:variant>
      <vt:variant>
        <vt:lpwstr/>
      </vt:variant>
      <vt:variant>
        <vt:lpwstr>_Toc51612144</vt:lpwstr>
      </vt:variant>
      <vt:variant>
        <vt:i4>1376309</vt:i4>
      </vt:variant>
      <vt:variant>
        <vt:i4>635</vt:i4>
      </vt:variant>
      <vt:variant>
        <vt:i4>0</vt:i4>
      </vt:variant>
      <vt:variant>
        <vt:i4>5</vt:i4>
      </vt:variant>
      <vt:variant>
        <vt:lpwstr/>
      </vt:variant>
      <vt:variant>
        <vt:lpwstr>_Toc51612143</vt:lpwstr>
      </vt:variant>
      <vt:variant>
        <vt:i4>1310773</vt:i4>
      </vt:variant>
      <vt:variant>
        <vt:i4>629</vt:i4>
      </vt:variant>
      <vt:variant>
        <vt:i4>0</vt:i4>
      </vt:variant>
      <vt:variant>
        <vt:i4>5</vt:i4>
      </vt:variant>
      <vt:variant>
        <vt:lpwstr/>
      </vt:variant>
      <vt:variant>
        <vt:lpwstr>_Toc51612142</vt:lpwstr>
      </vt:variant>
      <vt:variant>
        <vt:i4>1507381</vt:i4>
      </vt:variant>
      <vt:variant>
        <vt:i4>623</vt:i4>
      </vt:variant>
      <vt:variant>
        <vt:i4>0</vt:i4>
      </vt:variant>
      <vt:variant>
        <vt:i4>5</vt:i4>
      </vt:variant>
      <vt:variant>
        <vt:lpwstr/>
      </vt:variant>
      <vt:variant>
        <vt:lpwstr>_Toc51612141</vt:lpwstr>
      </vt:variant>
      <vt:variant>
        <vt:i4>1441845</vt:i4>
      </vt:variant>
      <vt:variant>
        <vt:i4>617</vt:i4>
      </vt:variant>
      <vt:variant>
        <vt:i4>0</vt:i4>
      </vt:variant>
      <vt:variant>
        <vt:i4>5</vt:i4>
      </vt:variant>
      <vt:variant>
        <vt:lpwstr/>
      </vt:variant>
      <vt:variant>
        <vt:lpwstr>_Toc51612140</vt:lpwstr>
      </vt:variant>
      <vt:variant>
        <vt:i4>2031666</vt:i4>
      </vt:variant>
      <vt:variant>
        <vt:i4>611</vt:i4>
      </vt:variant>
      <vt:variant>
        <vt:i4>0</vt:i4>
      </vt:variant>
      <vt:variant>
        <vt:i4>5</vt:i4>
      </vt:variant>
      <vt:variant>
        <vt:lpwstr/>
      </vt:variant>
      <vt:variant>
        <vt:lpwstr>_Toc51612139</vt:lpwstr>
      </vt:variant>
      <vt:variant>
        <vt:i4>1966130</vt:i4>
      </vt:variant>
      <vt:variant>
        <vt:i4>605</vt:i4>
      </vt:variant>
      <vt:variant>
        <vt:i4>0</vt:i4>
      </vt:variant>
      <vt:variant>
        <vt:i4>5</vt:i4>
      </vt:variant>
      <vt:variant>
        <vt:lpwstr/>
      </vt:variant>
      <vt:variant>
        <vt:lpwstr>_Toc51612138</vt:lpwstr>
      </vt:variant>
      <vt:variant>
        <vt:i4>1114162</vt:i4>
      </vt:variant>
      <vt:variant>
        <vt:i4>599</vt:i4>
      </vt:variant>
      <vt:variant>
        <vt:i4>0</vt:i4>
      </vt:variant>
      <vt:variant>
        <vt:i4>5</vt:i4>
      </vt:variant>
      <vt:variant>
        <vt:lpwstr/>
      </vt:variant>
      <vt:variant>
        <vt:lpwstr>_Toc51612137</vt:lpwstr>
      </vt:variant>
      <vt:variant>
        <vt:i4>1048626</vt:i4>
      </vt:variant>
      <vt:variant>
        <vt:i4>593</vt:i4>
      </vt:variant>
      <vt:variant>
        <vt:i4>0</vt:i4>
      </vt:variant>
      <vt:variant>
        <vt:i4>5</vt:i4>
      </vt:variant>
      <vt:variant>
        <vt:lpwstr/>
      </vt:variant>
      <vt:variant>
        <vt:lpwstr>_Toc51612136</vt:lpwstr>
      </vt:variant>
      <vt:variant>
        <vt:i4>1245234</vt:i4>
      </vt:variant>
      <vt:variant>
        <vt:i4>587</vt:i4>
      </vt:variant>
      <vt:variant>
        <vt:i4>0</vt:i4>
      </vt:variant>
      <vt:variant>
        <vt:i4>5</vt:i4>
      </vt:variant>
      <vt:variant>
        <vt:lpwstr/>
      </vt:variant>
      <vt:variant>
        <vt:lpwstr>_Toc51612135</vt:lpwstr>
      </vt:variant>
      <vt:variant>
        <vt:i4>1179698</vt:i4>
      </vt:variant>
      <vt:variant>
        <vt:i4>581</vt:i4>
      </vt:variant>
      <vt:variant>
        <vt:i4>0</vt:i4>
      </vt:variant>
      <vt:variant>
        <vt:i4>5</vt:i4>
      </vt:variant>
      <vt:variant>
        <vt:lpwstr/>
      </vt:variant>
      <vt:variant>
        <vt:lpwstr>_Toc51612134</vt:lpwstr>
      </vt:variant>
      <vt:variant>
        <vt:i4>1376306</vt:i4>
      </vt:variant>
      <vt:variant>
        <vt:i4>575</vt:i4>
      </vt:variant>
      <vt:variant>
        <vt:i4>0</vt:i4>
      </vt:variant>
      <vt:variant>
        <vt:i4>5</vt:i4>
      </vt:variant>
      <vt:variant>
        <vt:lpwstr/>
      </vt:variant>
      <vt:variant>
        <vt:lpwstr>_Toc51612133</vt:lpwstr>
      </vt:variant>
      <vt:variant>
        <vt:i4>1310770</vt:i4>
      </vt:variant>
      <vt:variant>
        <vt:i4>569</vt:i4>
      </vt:variant>
      <vt:variant>
        <vt:i4>0</vt:i4>
      </vt:variant>
      <vt:variant>
        <vt:i4>5</vt:i4>
      </vt:variant>
      <vt:variant>
        <vt:lpwstr/>
      </vt:variant>
      <vt:variant>
        <vt:lpwstr>_Toc51612132</vt:lpwstr>
      </vt:variant>
      <vt:variant>
        <vt:i4>1507378</vt:i4>
      </vt:variant>
      <vt:variant>
        <vt:i4>563</vt:i4>
      </vt:variant>
      <vt:variant>
        <vt:i4>0</vt:i4>
      </vt:variant>
      <vt:variant>
        <vt:i4>5</vt:i4>
      </vt:variant>
      <vt:variant>
        <vt:lpwstr/>
      </vt:variant>
      <vt:variant>
        <vt:lpwstr>_Toc51612131</vt:lpwstr>
      </vt:variant>
      <vt:variant>
        <vt:i4>1441842</vt:i4>
      </vt:variant>
      <vt:variant>
        <vt:i4>557</vt:i4>
      </vt:variant>
      <vt:variant>
        <vt:i4>0</vt:i4>
      </vt:variant>
      <vt:variant>
        <vt:i4>5</vt:i4>
      </vt:variant>
      <vt:variant>
        <vt:lpwstr/>
      </vt:variant>
      <vt:variant>
        <vt:lpwstr>_Toc51612130</vt:lpwstr>
      </vt:variant>
      <vt:variant>
        <vt:i4>2031667</vt:i4>
      </vt:variant>
      <vt:variant>
        <vt:i4>551</vt:i4>
      </vt:variant>
      <vt:variant>
        <vt:i4>0</vt:i4>
      </vt:variant>
      <vt:variant>
        <vt:i4>5</vt:i4>
      </vt:variant>
      <vt:variant>
        <vt:lpwstr/>
      </vt:variant>
      <vt:variant>
        <vt:lpwstr>_Toc51612129</vt:lpwstr>
      </vt:variant>
      <vt:variant>
        <vt:i4>1966131</vt:i4>
      </vt:variant>
      <vt:variant>
        <vt:i4>545</vt:i4>
      </vt:variant>
      <vt:variant>
        <vt:i4>0</vt:i4>
      </vt:variant>
      <vt:variant>
        <vt:i4>5</vt:i4>
      </vt:variant>
      <vt:variant>
        <vt:lpwstr/>
      </vt:variant>
      <vt:variant>
        <vt:lpwstr>_Toc51612128</vt:lpwstr>
      </vt:variant>
      <vt:variant>
        <vt:i4>1114163</vt:i4>
      </vt:variant>
      <vt:variant>
        <vt:i4>539</vt:i4>
      </vt:variant>
      <vt:variant>
        <vt:i4>0</vt:i4>
      </vt:variant>
      <vt:variant>
        <vt:i4>5</vt:i4>
      </vt:variant>
      <vt:variant>
        <vt:lpwstr/>
      </vt:variant>
      <vt:variant>
        <vt:lpwstr>_Toc51612127</vt:lpwstr>
      </vt:variant>
      <vt:variant>
        <vt:i4>1048627</vt:i4>
      </vt:variant>
      <vt:variant>
        <vt:i4>533</vt:i4>
      </vt:variant>
      <vt:variant>
        <vt:i4>0</vt:i4>
      </vt:variant>
      <vt:variant>
        <vt:i4>5</vt:i4>
      </vt:variant>
      <vt:variant>
        <vt:lpwstr/>
      </vt:variant>
      <vt:variant>
        <vt:lpwstr>_Toc51612126</vt:lpwstr>
      </vt:variant>
      <vt:variant>
        <vt:i4>1245235</vt:i4>
      </vt:variant>
      <vt:variant>
        <vt:i4>527</vt:i4>
      </vt:variant>
      <vt:variant>
        <vt:i4>0</vt:i4>
      </vt:variant>
      <vt:variant>
        <vt:i4>5</vt:i4>
      </vt:variant>
      <vt:variant>
        <vt:lpwstr/>
      </vt:variant>
      <vt:variant>
        <vt:lpwstr>_Toc51612125</vt:lpwstr>
      </vt:variant>
      <vt:variant>
        <vt:i4>1179699</vt:i4>
      </vt:variant>
      <vt:variant>
        <vt:i4>521</vt:i4>
      </vt:variant>
      <vt:variant>
        <vt:i4>0</vt:i4>
      </vt:variant>
      <vt:variant>
        <vt:i4>5</vt:i4>
      </vt:variant>
      <vt:variant>
        <vt:lpwstr/>
      </vt:variant>
      <vt:variant>
        <vt:lpwstr>_Toc51612124</vt:lpwstr>
      </vt:variant>
      <vt:variant>
        <vt:i4>1376307</vt:i4>
      </vt:variant>
      <vt:variant>
        <vt:i4>515</vt:i4>
      </vt:variant>
      <vt:variant>
        <vt:i4>0</vt:i4>
      </vt:variant>
      <vt:variant>
        <vt:i4>5</vt:i4>
      </vt:variant>
      <vt:variant>
        <vt:lpwstr/>
      </vt:variant>
      <vt:variant>
        <vt:lpwstr>_Toc51612123</vt:lpwstr>
      </vt:variant>
      <vt:variant>
        <vt:i4>1310771</vt:i4>
      </vt:variant>
      <vt:variant>
        <vt:i4>509</vt:i4>
      </vt:variant>
      <vt:variant>
        <vt:i4>0</vt:i4>
      </vt:variant>
      <vt:variant>
        <vt:i4>5</vt:i4>
      </vt:variant>
      <vt:variant>
        <vt:lpwstr/>
      </vt:variant>
      <vt:variant>
        <vt:lpwstr>_Toc51612122</vt:lpwstr>
      </vt:variant>
      <vt:variant>
        <vt:i4>1507379</vt:i4>
      </vt:variant>
      <vt:variant>
        <vt:i4>503</vt:i4>
      </vt:variant>
      <vt:variant>
        <vt:i4>0</vt:i4>
      </vt:variant>
      <vt:variant>
        <vt:i4>5</vt:i4>
      </vt:variant>
      <vt:variant>
        <vt:lpwstr/>
      </vt:variant>
      <vt:variant>
        <vt:lpwstr>_Toc51612121</vt:lpwstr>
      </vt:variant>
      <vt:variant>
        <vt:i4>1441843</vt:i4>
      </vt:variant>
      <vt:variant>
        <vt:i4>497</vt:i4>
      </vt:variant>
      <vt:variant>
        <vt:i4>0</vt:i4>
      </vt:variant>
      <vt:variant>
        <vt:i4>5</vt:i4>
      </vt:variant>
      <vt:variant>
        <vt:lpwstr/>
      </vt:variant>
      <vt:variant>
        <vt:lpwstr>_Toc51612120</vt:lpwstr>
      </vt:variant>
      <vt:variant>
        <vt:i4>2031664</vt:i4>
      </vt:variant>
      <vt:variant>
        <vt:i4>491</vt:i4>
      </vt:variant>
      <vt:variant>
        <vt:i4>0</vt:i4>
      </vt:variant>
      <vt:variant>
        <vt:i4>5</vt:i4>
      </vt:variant>
      <vt:variant>
        <vt:lpwstr/>
      </vt:variant>
      <vt:variant>
        <vt:lpwstr>_Toc51612119</vt:lpwstr>
      </vt:variant>
      <vt:variant>
        <vt:i4>1966128</vt:i4>
      </vt:variant>
      <vt:variant>
        <vt:i4>485</vt:i4>
      </vt:variant>
      <vt:variant>
        <vt:i4>0</vt:i4>
      </vt:variant>
      <vt:variant>
        <vt:i4>5</vt:i4>
      </vt:variant>
      <vt:variant>
        <vt:lpwstr/>
      </vt:variant>
      <vt:variant>
        <vt:lpwstr>_Toc51612118</vt:lpwstr>
      </vt:variant>
      <vt:variant>
        <vt:i4>1114160</vt:i4>
      </vt:variant>
      <vt:variant>
        <vt:i4>479</vt:i4>
      </vt:variant>
      <vt:variant>
        <vt:i4>0</vt:i4>
      </vt:variant>
      <vt:variant>
        <vt:i4>5</vt:i4>
      </vt:variant>
      <vt:variant>
        <vt:lpwstr/>
      </vt:variant>
      <vt:variant>
        <vt:lpwstr>_Toc51612117</vt:lpwstr>
      </vt:variant>
      <vt:variant>
        <vt:i4>1048624</vt:i4>
      </vt:variant>
      <vt:variant>
        <vt:i4>473</vt:i4>
      </vt:variant>
      <vt:variant>
        <vt:i4>0</vt:i4>
      </vt:variant>
      <vt:variant>
        <vt:i4>5</vt:i4>
      </vt:variant>
      <vt:variant>
        <vt:lpwstr/>
      </vt:variant>
      <vt:variant>
        <vt:lpwstr>_Toc51612116</vt:lpwstr>
      </vt:variant>
      <vt:variant>
        <vt:i4>1245232</vt:i4>
      </vt:variant>
      <vt:variant>
        <vt:i4>467</vt:i4>
      </vt:variant>
      <vt:variant>
        <vt:i4>0</vt:i4>
      </vt:variant>
      <vt:variant>
        <vt:i4>5</vt:i4>
      </vt:variant>
      <vt:variant>
        <vt:lpwstr/>
      </vt:variant>
      <vt:variant>
        <vt:lpwstr>_Toc51612115</vt:lpwstr>
      </vt:variant>
      <vt:variant>
        <vt:i4>1179696</vt:i4>
      </vt:variant>
      <vt:variant>
        <vt:i4>461</vt:i4>
      </vt:variant>
      <vt:variant>
        <vt:i4>0</vt:i4>
      </vt:variant>
      <vt:variant>
        <vt:i4>5</vt:i4>
      </vt:variant>
      <vt:variant>
        <vt:lpwstr/>
      </vt:variant>
      <vt:variant>
        <vt:lpwstr>_Toc51612114</vt:lpwstr>
      </vt:variant>
      <vt:variant>
        <vt:i4>1376304</vt:i4>
      </vt:variant>
      <vt:variant>
        <vt:i4>455</vt:i4>
      </vt:variant>
      <vt:variant>
        <vt:i4>0</vt:i4>
      </vt:variant>
      <vt:variant>
        <vt:i4>5</vt:i4>
      </vt:variant>
      <vt:variant>
        <vt:lpwstr/>
      </vt:variant>
      <vt:variant>
        <vt:lpwstr>_Toc51612113</vt:lpwstr>
      </vt:variant>
      <vt:variant>
        <vt:i4>1310768</vt:i4>
      </vt:variant>
      <vt:variant>
        <vt:i4>449</vt:i4>
      </vt:variant>
      <vt:variant>
        <vt:i4>0</vt:i4>
      </vt:variant>
      <vt:variant>
        <vt:i4>5</vt:i4>
      </vt:variant>
      <vt:variant>
        <vt:lpwstr/>
      </vt:variant>
      <vt:variant>
        <vt:lpwstr>_Toc51612112</vt:lpwstr>
      </vt:variant>
      <vt:variant>
        <vt:i4>1507376</vt:i4>
      </vt:variant>
      <vt:variant>
        <vt:i4>443</vt:i4>
      </vt:variant>
      <vt:variant>
        <vt:i4>0</vt:i4>
      </vt:variant>
      <vt:variant>
        <vt:i4>5</vt:i4>
      </vt:variant>
      <vt:variant>
        <vt:lpwstr/>
      </vt:variant>
      <vt:variant>
        <vt:lpwstr>_Toc51612111</vt:lpwstr>
      </vt:variant>
      <vt:variant>
        <vt:i4>1441840</vt:i4>
      </vt:variant>
      <vt:variant>
        <vt:i4>437</vt:i4>
      </vt:variant>
      <vt:variant>
        <vt:i4>0</vt:i4>
      </vt:variant>
      <vt:variant>
        <vt:i4>5</vt:i4>
      </vt:variant>
      <vt:variant>
        <vt:lpwstr/>
      </vt:variant>
      <vt:variant>
        <vt:lpwstr>_Toc51612110</vt:lpwstr>
      </vt:variant>
      <vt:variant>
        <vt:i4>2031665</vt:i4>
      </vt:variant>
      <vt:variant>
        <vt:i4>431</vt:i4>
      </vt:variant>
      <vt:variant>
        <vt:i4>0</vt:i4>
      </vt:variant>
      <vt:variant>
        <vt:i4>5</vt:i4>
      </vt:variant>
      <vt:variant>
        <vt:lpwstr/>
      </vt:variant>
      <vt:variant>
        <vt:lpwstr>_Toc51612109</vt:lpwstr>
      </vt:variant>
      <vt:variant>
        <vt:i4>1966129</vt:i4>
      </vt:variant>
      <vt:variant>
        <vt:i4>425</vt:i4>
      </vt:variant>
      <vt:variant>
        <vt:i4>0</vt:i4>
      </vt:variant>
      <vt:variant>
        <vt:i4>5</vt:i4>
      </vt:variant>
      <vt:variant>
        <vt:lpwstr/>
      </vt:variant>
      <vt:variant>
        <vt:lpwstr>_Toc51612108</vt:lpwstr>
      </vt:variant>
      <vt:variant>
        <vt:i4>1114161</vt:i4>
      </vt:variant>
      <vt:variant>
        <vt:i4>419</vt:i4>
      </vt:variant>
      <vt:variant>
        <vt:i4>0</vt:i4>
      </vt:variant>
      <vt:variant>
        <vt:i4>5</vt:i4>
      </vt:variant>
      <vt:variant>
        <vt:lpwstr/>
      </vt:variant>
      <vt:variant>
        <vt:lpwstr>_Toc51612107</vt:lpwstr>
      </vt:variant>
      <vt:variant>
        <vt:i4>1048625</vt:i4>
      </vt:variant>
      <vt:variant>
        <vt:i4>413</vt:i4>
      </vt:variant>
      <vt:variant>
        <vt:i4>0</vt:i4>
      </vt:variant>
      <vt:variant>
        <vt:i4>5</vt:i4>
      </vt:variant>
      <vt:variant>
        <vt:lpwstr/>
      </vt:variant>
      <vt:variant>
        <vt:lpwstr>_Toc51612106</vt:lpwstr>
      </vt:variant>
      <vt:variant>
        <vt:i4>1245233</vt:i4>
      </vt:variant>
      <vt:variant>
        <vt:i4>407</vt:i4>
      </vt:variant>
      <vt:variant>
        <vt:i4>0</vt:i4>
      </vt:variant>
      <vt:variant>
        <vt:i4>5</vt:i4>
      </vt:variant>
      <vt:variant>
        <vt:lpwstr/>
      </vt:variant>
      <vt:variant>
        <vt:lpwstr>_Toc51612105</vt:lpwstr>
      </vt:variant>
      <vt:variant>
        <vt:i4>1179697</vt:i4>
      </vt:variant>
      <vt:variant>
        <vt:i4>401</vt:i4>
      </vt:variant>
      <vt:variant>
        <vt:i4>0</vt:i4>
      </vt:variant>
      <vt:variant>
        <vt:i4>5</vt:i4>
      </vt:variant>
      <vt:variant>
        <vt:lpwstr/>
      </vt:variant>
      <vt:variant>
        <vt:lpwstr>_Toc51612104</vt:lpwstr>
      </vt:variant>
      <vt:variant>
        <vt:i4>1376305</vt:i4>
      </vt:variant>
      <vt:variant>
        <vt:i4>395</vt:i4>
      </vt:variant>
      <vt:variant>
        <vt:i4>0</vt:i4>
      </vt:variant>
      <vt:variant>
        <vt:i4>5</vt:i4>
      </vt:variant>
      <vt:variant>
        <vt:lpwstr/>
      </vt:variant>
      <vt:variant>
        <vt:lpwstr>_Toc51612103</vt:lpwstr>
      </vt:variant>
      <vt:variant>
        <vt:i4>1310769</vt:i4>
      </vt:variant>
      <vt:variant>
        <vt:i4>389</vt:i4>
      </vt:variant>
      <vt:variant>
        <vt:i4>0</vt:i4>
      </vt:variant>
      <vt:variant>
        <vt:i4>5</vt:i4>
      </vt:variant>
      <vt:variant>
        <vt:lpwstr/>
      </vt:variant>
      <vt:variant>
        <vt:lpwstr>_Toc51612102</vt:lpwstr>
      </vt:variant>
      <vt:variant>
        <vt:i4>1507377</vt:i4>
      </vt:variant>
      <vt:variant>
        <vt:i4>383</vt:i4>
      </vt:variant>
      <vt:variant>
        <vt:i4>0</vt:i4>
      </vt:variant>
      <vt:variant>
        <vt:i4>5</vt:i4>
      </vt:variant>
      <vt:variant>
        <vt:lpwstr/>
      </vt:variant>
      <vt:variant>
        <vt:lpwstr>_Toc51612101</vt:lpwstr>
      </vt:variant>
      <vt:variant>
        <vt:i4>1441841</vt:i4>
      </vt:variant>
      <vt:variant>
        <vt:i4>377</vt:i4>
      </vt:variant>
      <vt:variant>
        <vt:i4>0</vt:i4>
      </vt:variant>
      <vt:variant>
        <vt:i4>5</vt:i4>
      </vt:variant>
      <vt:variant>
        <vt:lpwstr/>
      </vt:variant>
      <vt:variant>
        <vt:lpwstr>_Toc51612100</vt:lpwstr>
      </vt:variant>
      <vt:variant>
        <vt:i4>1966136</vt:i4>
      </vt:variant>
      <vt:variant>
        <vt:i4>371</vt:i4>
      </vt:variant>
      <vt:variant>
        <vt:i4>0</vt:i4>
      </vt:variant>
      <vt:variant>
        <vt:i4>5</vt:i4>
      </vt:variant>
      <vt:variant>
        <vt:lpwstr/>
      </vt:variant>
      <vt:variant>
        <vt:lpwstr>_Toc51612099</vt:lpwstr>
      </vt:variant>
      <vt:variant>
        <vt:i4>2031672</vt:i4>
      </vt:variant>
      <vt:variant>
        <vt:i4>365</vt:i4>
      </vt:variant>
      <vt:variant>
        <vt:i4>0</vt:i4>
      </vt:variant>
      <vt:variant>
        <vt:i4>5</vt:i4>
      </vt:variant>
      <vt:variant>
        <vt:lpwstr/>
      </vt:variant>
      <vt:variant>
        <vt:lpwstr>_Toc51612098</vt:lpwstr>
      </vt:variant>
      <vt:variant>
        <vt:i4>1048632</vt:i4>
      </vt:variant>
      <vt:variant>
        <vt:i4>359</vt:i4>
      </vt:variant>
      <vt:variant>
        <vt:i4>0</vt:i4>
      </vt:variant>
      <vt:variant>
        <vt:i4>5</vt:i4>
      </vt:variant>
      <vt:variant>
        <vt:lpwstr/>
      </vt:variant>
      <vt:variant>
        <vt:lpwstr>_Toc51612097</vt:lpwstr>
      </vt:variant>
      <vt:variant>
        <vt:i4>1114168</vt:i4>
      </vt:variant>
      <vt:variant>
        <vt:i4>353</vt:i4>
      </vt:variant>
      <vt:variant>
        <vt:i4>0</vt:i4>
      </vt:variant>
      <vt:variant>
        <vt:i4>5</vt:i4>
      </vt:variant>
      <vt:variant>
        <vt:lpwstr/>
      </vt:variant>
      <vt:variant>
        <vt:lpwstr>_Toc51612096</vt:lpwstr>
      </vt:variant>
      <vt:variant>
        <vt:i4>1179704</vt:i4>
      </vt:variant>
      <vt:variant>
        <vt:i4>347</vt:i4>
      </vt:variant>
      <vt:variant>
        <vt:i4>0</vt:i4>
      </vt:variant>
      <vt:variant>
        <vt:i4>5</vt:i4>
      </vt:variant>
      <vt:variant>
        <vt:lpwstr/>
      </vt:variant>
      <vt:variant>
        <vt:lpwstr>_Toc51612095</vt:lpwstr>
      </vt:variant>
      <vt:variant>
        <vt:i4>1245240</vt:i4>
      </vt:variant>
      <vt:variant>
        <vt:i4>341</vt:i4>
      </vt:variant>
      <vt:variant>
        <vt:i4>0</vt:i4>
      </vt:variant>
      <vt:variant>
        <vt:i4>5</vt:i4>
      </vt:variant>
      <vt:variant>
        <vt:lpwstr/>
      </vt:variant>
      <vt:variant>
        <vt:lpwstr>_Toc51612094</vt:lpwstr>
      </vt:variant>
      <vt:variant>
        <vt:i4>1310776</vt:i4>
      </vt:variant>
      <vt:variant>
        <vt:i4>335</vt:i4>
      </vt:variant>
      <vt:variant>
        <vt:i4>0</vt:i4>
      </vt:variant>
      <vt:variant>
        <vt:i4>5</vt:i4>
      </vt:variant>
      <vt:variant>
        <vt:lpwstr/>
      </vt:variant>
      <vt:variant>
        <vt:lpwstr>_Toc51612093</vt:lpwstr>
      </vt:variant>
      <vt:variant>
        <vt:i4>1376312</vt:i4>
      </vt:variant>
      <vt:variant>
        <vt:i4>329</vt:i4>
      </vt:variant>
      <vt:variant>
        <vt:i4>0</vt:i4>
      </vt:variant>
      <vt:variant>
        <vt:i4>5</vt:i4>
      </vt:variant>
      <vt:variant>
        <vt:lpwstr/>
      </vt:variant>
      <vt:variant>
        <vt:lpwstr>_Toc51612092</vt:lpwstr>
      </vt:variant>
      <vt:variant>
        <vt:i4>1441848</vt:i4>
      </vt:variant>
      <vt:variant>
        <vt:i4>323</vt:i4>
      </vt:variant>
      <vt:variant>
        <vt:i4>0</vt:i4>
      </vt:variant>
      <vt:variant>
        <vt:i4>5</vt:i4>
      </vt:variant>
      <vt:variant>
        <vt:lpwstr/>
      </vt:variant>
      <vt:variant>
        <vt:lpwstr>_Toc51612091</vt:lpwstr>
      </vt:variant>
      <vt:variant>
        <vt:i4>1507384</vt:i4>
      </vt:variant>
      <vt:variant>
        <vt:i4>317</vt:i4>
      </vt:variant>
      <vt:variant>
        <vt:i4>0</vt:i4>
      </vt:variant>
      <vt:variant>
        <vt:i4>5</vt:i4>
      </vt:variant>
      <vt:variant>
        <vt:lpwstr/>
      </vt:variant>
      <vt:variant>
        <vt:lpwstr>_Toc51612090</vt:lpwstr>
      </vt:variant>
      <vt:variant>
        <vt:i4>1966137</vt:i4>
      </vt:variant>
      <vt:variant>
        <vt:i4>311</vt:i4>
      </vt:variant>
      <vt:variant>
        <vt:i4>0</vt:i4>
      </vt:variant>
      <vt:variant>
        <vt:i4>5</vt:i4>
      </vt:variant>
      <vt:variant>
        <vt:lpwstr/>
      </vt:variant>
      <vt:variant>
        <vt:lpwstr>_Toc51612089</vt:lpwstr>
      </vt:variant>
      <vt:variant>
        <vt:i4>2031673</vt:i4>
      </vt:variant>
      <vt:variant>
        <vt:i4>305</vt:i4>
      </vt:variant>
      <vt:variant>
        <vt:i4>0</vt:i4>
      </vt:variant>
      <vt:variant>
        <vt:i4>5</vt:i4>
      </vt:variant>
      <vt:variant>
        <vt:lpwstr/>
      </vt:variant>
      <vt:variant>
        <vt:lpwstr>_Toc51612088</vt:lpwstr>
      </vt:variant>
      <vt:variant>
        <vt:i4>1048633</vt:i4>
      </vt:variant>
      <vt:variant>
        <vt:i4>299</vt:i4>
      </vt:variant>
      <vt:variant>
        <vt:i4>0</vt:i4>
      </vt:variant>
      <vt:variant>
        <vt:i4>5</vt:i4>
      </vt:variant>
      <vt:variant>
        <vt:lpwstr/>
      </vt:variant>
      <vt:variant>
        <vt:lpwstr>_Toc51612087</vt:lpwstr>
      </vt:variant>
      <vt:variant>
        <vt:i4>1114169</vt:i4>
      </vt:variant>
      <vt:variant>
        <vt:i4>293</vt:i4>
      </vt:variant>
      <vt:variant>
        <vt:i4>0</vt:i4>
      </vt:variant>
      <vt:variant>
        <vt:i4>5</vt:i4>
      </vt:variant>
      <vt:variant>
        <vt:lpwstr/>
      </vt:variant>
      <vt:variant>
        <vt:lpwstr>_Toc51612086</vt:lpwstr>
      </vt:variant>
      <vt:variant>
        <vt:i4>1179705</vt:i4>
      </vt:variant>
      <vt:variant>
        <vt:i4>287</vt:i4>
      </vt:variant>
      <vt:variant>
        <vt:i4>0</vt:i4>
      </vt:variant>
      <vt:variant>
        <vt:i4>5</vt:i4>
      </vt:variant>
      <vt:variant>
        <vt:lpwstr/>
      </vt:variant>
      <vt:variant>
        <vt:lpwstr>_Toc51612085</vt:lpwstr>
      </vt:variant>
      <vt:variant>
        <vt:i4>1245241</vt:i4>
      </vt:variant>
      <vt:variant>
        <vt:i4>281</vt:i4>
      </vt:variant>
      <vt:variant>
        <vt:i4>0</vt:i4>
      </vt:variant>
      <vt:variant>
        <vt:i4>5</vt:i4>
      </vt:variant>
      <vt:variant>
        <vt:lpwstr/>
      </vt:variant>
      <vt:variant>
        <vt:lpwstr>_Toc51612084</vt:lpwstr>
      </vt:variant>
      <vt:variant>
        <vt:i4>1310777</vt:i4>
      </vt:variant>
      <vt:variant>
        <vt:i4>275</vt:i4>
      </vt:variant>
      <vt:variant>
        <vt:i4>0</vt:i4>
      </vt:variant>
      <vt:variant>
        <vt:i4>5</vt:i4>
      </vt:variant>
      <vt:variant>
        <vt:lpwstr/>
      </vt:variant>
      <vt:variant>
        <vt:lpwstr>_Toc51612083</vt:lpwstr>
      </vt:variant>
      <vt:variant>
        <vt:i4>1376313</vt:i4>
      </vt:variant>
      <vt:variant>
        <vt:i4>269</vt:i4>
      </vt:variant>
      <vt:variant>
        <vt:i4>0</vt:i4>
      </vt:variant>
      <vt:variant>
        <vt:i4>5</vt:i4>
      </vt:variant>
      <vt:variant>
        <vt:lpwstr/>
      </vt:variant>
      <vt:variant>
        <vt:lpwstr>_Toc51612082</vt:lpwstr>
      </vt:variant>
      <vt:variant>
        <vt:i4>1441849</vt:i4>
      </vt:variant>
      <vt:variant>
        <vt:i4>263</vt:i4>
      </vt:variant>
      <vt:variant>
        <vt:i4>0</vt:i4>
      </vt:variant>
      <vt:variant>
        <vt:i4>5</vt:i4>
      </vt:variant>
      <vt:variant>
        <vt:lpwstr/>
      </vt:variant>
      <vt:variant>
        <vt:lpwstr>_Toc51612081</vt:lpwstr>
      </vt:variant>
      <vt:variant>
        <vt:i4>1507385</vt:i4>
      </vt:variant>
      <vt:variant>
        <vt:i4>257</vt:i4>
      </vt:variant>
      <vt:variant>
        <vt:i4>0</vt:i4>
      </vt:variant>
      <vt:variant>
        <vt:i4>5</vt:i4>
      </vt:variant>
      <vt:variant>
        <vt:lpwstr/>
      </vt:variant>
      <vt:variant>
        <vt:lpwstr>_Toc51612080</vt:lpwstr>
      </vt:variant>
      <vt:variant>
        <vt:i4>1966134</vt:i4>
      </vt:variant>
      <vt:variant>
        <vt:i4>251</vt:i4>
      </vt:variant>
      <vt:variant>
        <vt:i4>0</vt:i4>
      </vt:variant>
      <vt:variant>
        <vt:i4>5</vt:i4>
      </vt:variant>
      <vt:variant>
        <vt:lpwstr/>
      </vt:variant>
      <vt:variant>
        <vt:lpwstr>_Toc51612079</vt:lpwstr>
      </vt:variant>
      <vt:variant>
        <vt:i4>2031670</vt:i4>
      </vt:variant>
      <vt:variant>
        <vt:i4>245</vt:i4>
      </vt:variant>
      <vt:variant>
        <vt:i4>0</vt:i4>
      </vt:variant>
      <vt:variant>
        <vt:i4>5</vt:i4>
      </vt:variant>
      <vt:variant>
        <vt:lpwstr/>
      </vt:variant>
      <vt:variant>
        <vt:lpwstr>_Toc51612078</vt:lpwstr>
      </vt:variant>
      <vt:variant>
        <vt:i4>1048630</vt:i4>
      </vt:variant>
      <vt:variant>
        <vt:i4>239</vt:i4>
      </vt:variant>
      <vt:variant>
        <vt:i4>0</vt:i4>
      </vt:variant>
      <vt:variant>
        <vt:i4>5</vt:i4>
      </vt:variant>
      <vt:variant>
        <vt:lpwstr/>
      </vt:variant>
      <vt:variant>
        <vt:lpwstr>_Toc51612077</vt:lpwstr>
      </vt:variant>
      <vt:variant>
        <vt:i4>1114166</vt:i4>
      </vt:variant>
      <vt:variant>
        <vt:i4>233</vt:i4>
      </vt:variant>
      <vt:variant>
        <vt:i4>0</vt:i4>
      </vt:variant>
      <vt:variant>
        <vt:i4>5</vt:i4>
      </vt:variant>
      <vt:variant>
        <vt:lpwstr/>
      </vt:variant>
      <vt:variant>
        <vt:lpwstr>_Toc51612076</vt:lpwstr>
      </vt:variant>
      <vt:variant>
        <vt:i4>1179702</vt:i4>
      </vt:variant>
      <vt:variant>
        <vt:i4>227</vt:i4>
      </vt:variant>
      <vt:variant>
        <vt:i4>0</vt:i4>
      </vt:variant>
      <vt:variant>
        <vt:i4>5</vt:i4>
      </vt:variant>
      <vt:variant>
        <vt:lpwstr/>
      </vt:variant>
      <vt:variant>
        <vt:lpwstr>_Toc51612075</vt:lpwstr>
      </vt:variant>
      <vt:variant>
        <vt:i4>1245238</vt:i4>
      </vt:variant>
      <vt:variant>
        <vt:i4>221</vt:i4>
      </vt:variant>
      <vt:variant>
        <vt:i4>0</vt:i4>
      </vt:variant>
      <vt:variant>
        <vt:i4>5</vt:i4>
      </vt:variant>
      <vt:variant>
        <vt:lpwstr/>
      </vt:variant>
      <vt:variant>
        <vt:lpwstr>_Toc51612074</vt:lpwstr>
      </vt:variant>
      <vt:variant>
        <vt:i4>1310774</vt:i4>
      </vt:variant>
      <vt:variant>
        <vt:i4>215</vt:i4>
      </vt:variant>
      <vt:variant>
        <vt:i4>0</vt:i4>
      </vt:variant>
      <vt:variant>
        <vt:i4>5</vt:i4>
      </vt:variant>
      <vt:variant>
        <vt:lpwstr/>
      </vt:variant>
      <vt:variant>
        <vt:lpwstr>_Toc51612073</vt:lpwstr>
      </vt:variant>
      <vt:variant>
        <vt:i4>1376310</vt:i4>
      </vt:variant>
      <vt:variant>
        <vt:i4>209</vt:i4>
      </vt:variant>
      <vt:variant>
        <vt:i4>0</vt:i4>
      </vt:variant>
      <vt:variant>
        <vt:i4>5</vt:i4>
      </vt:variant>
      <vt:variant>
        <vt:lpwstr/>
      </vt:variant>
      <vt:variant>
        <vt:lpwstr>_Toc51612072</vt:lpwstr>
      </vt:variant>
      <vt:variant>
        <vt:i4>1441846</vt:i4>
      </vt:variant>
      <vt:variant>
        <vt:i4>203</vt:i4>
      </vt:variant>
      <vt:variant>
        <vt:i4>0</vt:i4>
      </vt:variant>
      <vt:variant>
        <vt:i4>5</vt:i4>
      </vt:variant>
      <vt:variant>
        <vt:lpwstr/>
      </vt:variant>
      <vt:variant>
        <vt:lpwstr>_Toc51612071</vt:lpwstr>
      </vt:variant>
      <vt:variant>
        <vt:i4>1507382</vt:i4>
      </vt:variant>
      <vt:variant>
        <vt:i4>197</vt:i4>
      </vt:variant>
      <vt:variant>
        <vt:i4>0</vt:i4>
      </vt:variant>
      <vt:variant>
        <vt:i4>5</vt:i4>
      </vt:variant>
      <vt:variant>
        <vt:lpwstr/>
      </vt:variant>
      <vt:variant>
        <vt:lpwstr>_Toc51612070</vt:lpwstr>
      </vt:variant>
      <vt:variant>
        <vt:i4>1966135</vt:i4>
      </vt:variant>
      <vt:variant>
        <vt:i4>191</vt:i4>
      </vt:variant>
      <vt:variant>
        <vt:i4>0</vt:i4>
      </vt:variant>
      <vt:variant>
        <vt:i4>5</vt:i4>
      </vt:variant>
      <vt:variant>
        <vt:lpwstr/>
      </vt:variant>
      <vt:variant>
        <vt:lpwstr>_Toc51612069</vt:lpwstr>
      </vt:variant>
      <vt:variant>
        <vt:i4>2031671</vt:i4>
      </vt:variant>
      <vt:variant>
        <vt:i4>185</vt:i4>
      </vt:variant>
      <vt:variant>
        <vt:i4>0</vt:i4>
      </vt:variant>
      <vt:variant>
        <vt:i4>5</vt:i4>
      </vt:variant>
      <vt:variant>
        <vt:lpwstr/>
      </vt:variant>
      <vt:variant>
        <vt:lpwstr>_Toc51612068</vt:lpwstr>
      </vt:variant>
      <vt:variant>
        <vt:i4>1048631</vt:i4>
      </vt:variant>
      <vt:variant>
        <vt:i4>179</vt:i4>
      </vt:variant>
      <vt:variant>
        <vt:i4>0</vt:i4>
      </vt:variant>
      <vt:variant>
        <vt:i4>5</vt:i4>
      </vt:variant>
      <vt:variant>
        <vt:lpwstr/>
      </vt:variant>
      <vt:variant>
        <vt:lpwstr>_Toc51612067</vt:lpwstr>
      </vt:variant>
      <vt:variant>
        <vt:i4>1114167</vt:i4>
      </vt:variant>
      <vt:variant>
        <vt:i4>173</vt:i4>
      </vt:variant>
      <vt:variant>
        <vt:i4>0</vt:i4>
      </vt:variant>
      <vt:variant>
        <vt:i4>5</vt:i4>
      </vt:variant>
      <vt:variant>
        <vt:lpwstr/>
      </vt:variant>
      <vt:variant>
        <vt:lpwstr>_Toc51612066</vt:lpwstr>
      </vt:variant>
      <vt:variant>
        <vt:i4>1179703</vt:i4>
      </vt:variant>
      <vt:variant>
        <vt:i4>167</vt:i4>
      </vt:variant>
      <vt:variant>
        <vt:i4>0</vt:i4>
      </vt:variant>
      <vt:variant>
        <vt:i4>5</vt:i4>
      </vt:variant>
      <vt:variant>
        <vt:lpwstr/>
      </vt:variant>
      <vt:variant>
        <vt:lpwstr>_Toc51612065</vt:lpwstr>
      </vt:variant>
      <vt:variant>
        <vt:i4>1245239</vt:i4>
      </vt:variant>
      <vt:variant>
        <vt:i4>161</vt:i4>
      </vt:variant>
      <vt:variant>
        <vt:i4>0</vt:i4>
      </vt:variant>
      <vt:variant>
        <vt:i4>5</vt:i4>
      </vt:variant>
      <vt:variant>
        <vt:lpwstr/>
      </vt:variant>
      <vt:variant>
        <vt:lpwstr>_Toc51612064</vt:lpwstr>
      </vt:variant>
      <vt:variant>
        <vt:i4>1310775</vt:i4>
      </vt:variant>
      <vt:variant>
        <vt:i4>155</vt:i4>
      </vt:variant>
      <vt:variant>
        <vt:i4>0</vt:i4>
      </vt:variant>
      <vt:variant>
        <vt:i4>5</vt:i4>
      </vt:variant>
      <vt:variant>
        <vt:lpwstr/>
      </vt:variant>
      <vt:variant>
        <vt:lpwstr>_Toc51612063</vt:lpwstr>
      </vt:variant>
      <vt:variant>
        <vt:i4>1376311</vt:i4>
      </vt:variant>
      <vt:variant>
        <vt:i4>149</vt:i4>
      </vt:variant>
      <vt:variant>
        <vt:i4>0</vt:i4>
      </vt:variant>
      <vt:variant>
        <vt:i4>5</vt:i4>
      </vt:variant>
      <vt:variant>
        <vt:lpwstr/>
      </vt:variant>
      <vt:variant>
        <vt:lpwstr>_Toc51612062</vt:lpwstr>
      </vt:variant>
      <vt:variant>
        <vt:i4>1441847</vt:i4>
      </vt:variant>
      <vt:variant>
        <vt:i4>143</vt:i4>
      </vt:variant>
      <vt:variant>
        <vt:i4>0</vt:i4>
      </vt:variant>
      <vt:variant>
        <vt:i4>5</vt:i4>
      </vt:variant>
      <vt:variant>
        <vt:lpwstr/>
      </vt:variant>
      <vt:variant>
        <vt:lpwstr>_Toc51612061</vt:lpwstr>
      </vt:variant>
      <vt:variant>
        <vt:i4>1507383</vt:i4>
      </vt:variant>
      <vt:variant>
        <vt:i4>137</vt:i4>
      </vt:variant>
      <vt:variant>
        <vt:i4>0</vt:i4>
      </vt:variant>
      <vt:variant>
        <vt:i4>5</vt:i4>
      </vt:variant>
      <vt:variant>
        <vt:lpwstr/>
      </vt:variant>
      <vt:variant>
        <vt:lpwstr>_Toc51612060</vt:lpwstr>
      </vt:variant>
      <vt:variant>
        <vt:i4>1966132</vt:i4>
      </vt:variant>
      <vt:variant>
        <vt:i4>131</vt:i4>
      </vt:variant>
      <vt:variant>
        <vt:i4>0</vt:i4>
      </vt:variant>
      <vt:variant>
        <vt:i4>5</vt:i4>
      </vt:variant>
      <vt:variant>
        <vt:lpwstr/>
      </vt:variant>
      <vt:variant>
        <vt:lpwstr>_Toc51612059</vt:lpwstr>
      </vt:variant>
      <vt:variant>
        <vt:i4>2031668</vt:i4>
      </vt:variant>
      <vt:variant>
        <vt:i4>125</vt:i4>
      </vt:variant>
      <vt:variant>
        <vt:i4>0</vt:i4>
      </vt:variant>
      <vt:variant>
        <vt:i4>5</vt:i4>
      </vt:variant>
      <vt:variant>
        <vt:lpwstr/>
      </vt:variant>
      <vt:variant>
        <vt:lpwstr>_Toc51612058</vt:lpwstr>
      </vt:variant>
      <vt:variant>
        <vt:i4>1048628</vt:i4>
      </vt:variant>
      <vt:variant>
        <vt:i4>119</vt:i4>
      </vt:variant>
      <vt:variant>
        <vt:i4>0</vt:i4>
      </vt:variant>
      <vt:variant>
        <vt:i4>5</vt:i4>
      </vt:variant>
      <vt:variant>
        <vt:lpwstr/>
      </vt:variant>
      <vt:variant>
        <vt:lpwstr>_Toc51612057</vt:lpwstr>
      </vt:variant>
      <vt:variant>
        <vt:i4>1114164</vt:i4>
      </vt:variant>
      <vt:variant>
        <vt:i4>113</vt:i4>
      </vt:variant>
      <vt:variant>
        <vt:i4>0</vt:i4>
      </vt:variant>
      <vt:variant>
        <vt:i4>5</vt:i4>
      </vt:variant>
      <vt:variant>
        <vt:lpwstr/>
      </vt:variant>
      <vt:variant>
        <vt:lpwstr>_Toc51612056</vt:lpwstr>
      </vt:variant>
      <vt:variant>
        <vt:i4>1179700</vt:i4>
      </vt:variant>
      <vt:variant>
        <vt:i4>107</vt:i4>
      </vt:variant>
      <vt:variant>
        <vt:i4>0</vt:i4>
      </vt:variant>
      <vt:variant>
        <vt:i4>5</vt:i4>
      </vt:variant>
      <vt:variant>
        <vt:lpwstr/>
      </vt:variant>
      <vt:variant>
        <vt:lpwstr>_Toc51612055</vt:lpwstr>
      </vt:variant>
      <vt:variant>
        <vt:i4>1245236</vt:i4>
      </vt:variant>
      <vt:variant>
        <vt:i4>101</vt:i4>
      </vt:variant>
      <vt:variant>
        <vt:i4>0</vt:i4>
      </vt:variant>
      <vt:variant>
        <vt:i4>5</vt:i4>
      </vt:variant>
      <vt:variant>
        <vt:lpwstr/>
      </vt:variant>
      <vt:variant>
        <vt:lpwstr>_Toc51612054</vt:lpwstr>
      </vt:variant>
      <vt:variant>
        <vt:i4>1310772</vt:i4>
      </vt:variant>
      <vt:variant>
        <vt:i4>95</vt:i4>
      </vt:variant>
      <vt:variant>
        <vt:i4>0</vt:i4>
      </vt:variant>
      <vt:variant>
        <vt:i4>5</vt:i4>
      </vt:variant>
      <vt:variant>
        <vt:lpwstr/>
      </vt:variant>
      <vt:variant>
        <vt:lpwstr>_Toc51612053</vt:lpwstr>
      </vt:variant>
      <vt:variant>
        <vt:i4>1376308</vt:i4>
      </vt:variant>
      <vt:variant>
        <vt:i4>89</vt:i4>
      </vt:variant>
      <vt:variant>
        <vt:i4>0</vt:i4>
      </vt:variant>
      <vt:variant>
        <vt:i4>5</vt:i4>
      </vt:variant>
      <vt:variant>
        <vt:lpwstr/>
      </vt:variant>
      <vt:variant>
        <vt:lpwstr>_Toc51612052</vt:lpwstr>
      </vt:variant>
      <vt:variant>
        <vt:i4>1441844</vt:i4>
      </vt:variant>
      <vt:variant>
        <vt:i4>83</vt:i4>
      </vt:variant>
      <vt:variant>
        <vt:i4>0</vt:i4>
      </vt:variant>
      <vt:variant>
        <vt:i4>5</vt:i4>
      </vt:variant>
      <vt:variant>
        <vt:lpwstr/>
      </vt:variant>
      <vt:variant>
        <vt:lpwstr>_Toc51612051</vt:lpwstr>
      </vt:variant>
      <vt:variant>
        <vt:i4>1507380</vt:i4>
      </vt:variant>
      <vt:variant>
        <vt:i4>77</vt:i4>
      </vt:variant>
      <vt:variant>
        <vt:i4>0</vt:i4>
      </vt:variant>
      <vt:variant>
        <vt:i4>5</vt:i4>
      </vt:variant>
      <vt:variant>
        <vt:lpwstr/>
      </vt:variant>
      <vt:variant>
        <vt:lpwstr>_Toc51612050</vt:lpwstr>
      </vt:variant>
      <vt:variant>
        <vt:i4>1966133</vt:i4>
      </vt:variant>
      <vt:variant>
        <vt:i4>71</vt:i4>
      </vt:variant>
      <vt:variant>
        <vt:i4>0</vt:i4>
      </vt:variant>
      <vt:variant>
        <vt:i4>5</vt:i4>
      </vt:variant>
      <vt:variant>
        <vt:lpwstr/>
      </vt:variant>
      <vt:variant>
        <vt:lpwstr>_Toc51612049</vt:lpwstr>
      </vt:variant>
      <vt:variant>
        <vt:i4>2031669</vt:i4>
      </vt:variant>
      <vt:variant>
        <vt:i4>65</vt:i4>
      </vt:variant>
      <vt:variant>
        <vt:i4>0</vt:i4>
      </vt:variant>
      <vt:variant>
        <vt:i4>5</vt:i4>
      </vt:variant>
      <vt:variant>
        <vt:lpwstr/>
      </vt:variant>
      <vt:variant>
        <vt:lpwstr>_Toc51612048</vt:lpwstr>
      </vt:variant>
      <vt:variant>
        <vt:i4>1048629</vt:i4>
      </vt:variant>
      <vt:variant>
        <vt:i4>59</vt:i4>
      </vt:variant>
      <vt:variant>
        <vt:i4>0</vt:i4>
      </vt:variant>
      <vt:variant>
        <vt:i4>5</vt:i4>
      </vt:variant>
      <vt:variant>
        <vt:lpwstr/>
      </vt:variant>
      <vt:variant>
        <vt:lpwstr>_Toc51612047</vt:lpwstr>
      </vt:variant>
      <vt:variant>
        <vt:i4>1114165</vt:i4>
      </vt:variant>
      <vt:variant>
        <vt:i4>53</vt:i4>
      </vt:variant>
      <vt:variant>
        <vt:i4>0</vt:i4>
      </vt:variant>
      <vt:variant>
        <vt:i4>5</vt:i4>
      </vt:variant>
      <vt:variant>
        <vt:lpwstr/>
      </vt:variant>
      <vt:variant>
        <vt:lpwstr>_Toc51612046</vt:lpwstr>
      </vt:variant>
      <vt:variant>
        <vt:i4>1179701</vt:i4>
      </vt:variant>
      <vt:variant>
        <vt:i4>47</vt:i4>
      </vt:variant>
      <vt:variant>
        <vt:i4>0</vt:i4>
      </vt:variant>
      <vt:variant>
        <vt:i4>5</vt:i4>
      </vt:variant>
      <vt:variant>
        <vt:lpwstr/>
      </vt:variant>
      <vt:variant>
        <vt:lpwstr>_Toc51612045</vt:lpwstr>
      </vt:variant>
      <vt:variant>
        <vt:i4>1245237</vt:i4>
      </vt:variant>
      <vt:variant>
        <vt:i4>41</vt:i4>
      </vt:variant>
      <vt:variant>
        <vt:i4>0</vt:i4>
      </vt:variant>
      <vt:variant>
        <vt:i4>5</vt:i4>
      </vt:variant>
      <vt:variant>
        <vt:lpwstr/>
      </vt:variant>
      <vt:variant>
        <vt:lpwstr>_Toc51612044</vt:lpwstr>
      </vt:variant>
      <vt:variant>
        <vt:i4>1310773</vt:i4>
      </vt:variant>
      <vt:variant>
        <vt:i4>35</vt:i4>
      </vt:variant>
      <vt:variant>
        <vt:i4>0</vt:i4>
      </vt:variant>
      <vt:variant>
        <vt:i4>5</vt:i4>
      </vt:variant>
      <vt:variant>
        <vt:lpwstr/>
      </vt:variant>
      <vt:variant>
        <vt:lpwstr>_Toc51612043</vt:lpwstr>
      </vt:variant>
      <vt:variant>
        <vt:i4>1376309</vt:i4>
      </vt:variant>
      <vt:variant>
        <vt:i4>29</vt:i4>
      </vt:variant>
      <vt:variant>
        <vt:i4>0</vt:i4>
      </vt:variant>
      <vt:variant>
        <vt:i4>5</vt:i4>
      </vt:variant>
      <vt:variant>
        <vt:lpwstr/>
      </vt:variant>
      <vt:variant>
        <vt:lpwstr>_Toc51612042</vt:lpwstr>
      </vt:variant>
      <vt:variant>
        <vt:i4>1441845</vt:i4>
      </vt:variant>
      <vt:variant>
        <vt:i4>23</vt:i4>
      </vt:variant>
      <vt:variant>
        <vt:i4>0</vt:i4>
      </vt:variant>
      <vt:variant>
        <vt:i4>5</vt:i4>
      </vt:variant>
      <vt:variant>
        <vt:lpwstr/>
      </vt:variant>
      <vt:variant>
        <vt:lpwstr>_Toc51612041</vt:lpwstr>
      </vt:variant>
      <vt:variant>
        <vt:i4>1507381</vt:i4>
      </vt:variant>
      <vt:variant>
        <vt:i4>17</vt:i4>
      </vt:variant>
      <vt:variant>
        <vt:i4>0</vt:i4>
      </vt:variant>
      <vt:variant>
        <vt:i4>5</vt:i4>
      </vt:variant>
      <vt:variant>
        <vt:lpwstr/>
      </vt:variant>
      <vt:variant>
        <vt:lpwstr>_Toc51612040</vt:lpwstr>
      </vt:variant>
      <vt:variant>
        <vt:i4>1966130</vt:i4>
      </vt:variant>
      <vt:variant>
        <vt:i4>11</vt:i4>
      </vt:variant>
      <vt:variant>
        <vt:i4>0</vt:i4>
      </vt:variant>
      <vt:variant>
        <vt:i4>5</vt:i4>
      </vt:variant>
      <vt:variant>
        <vt:lpwstr/>
      </vt:variant>
      <vt:variant>
        <vt:lpwstr>_Toc51612039</vt:lpwstr>
      </vt:variant>
      <vt:variant>
        <vt:i4>6815777</vt:i4>
      </vt:variant>
      <vt:variant>
        <vt:i4>6</vt:i4>
      </vt:variant>
      <vt:variant>
        <vt:i4>0</vt:i4>
      </vt:variant>
      <vt:variant>
        <vt:i4>5</vt:i4>
      </vt:variant>
      <vt:variant>
        <vt:lpwstr>http://statecontracts.nebraska.gov/</vt:lpwstr>
      </vt:variant>
      <vt:variant>
        <vt:lpwstr/>
      </vt:variant>
      <vt:variant>
        <vt:i4>1310735</vt:i4>
      </vt:variant>
      <vt:variant>
        <vt:i4>3</vt:i4>
      </vt:variant>
      <vt:variant>
        <vt:i4>0</vt:i4>
      </vt:variant>
      <vt:variant>
        <vt:i4>5</vt:i4>
      </vt:variant>
      <vt:variant>
        <vt:lpwstr>http://das.nebraska.gov/materiel/purchasing.html</vt:lpwstr>
      </vt:variant>
      <vt:variant>
        <vt:lpwstr/>
      </vt:variant>
      <vt:variant>
        <vt:i4>1900656</vt:i4>
      </vt:variant>
      <vt:variant>
        <vt:i4>0</vt:i4>
      </vt:variant>
      <vt:variant>
        <vt:i4>0</vt:i4>
      </vt:variant>
      <vt:variant>
        <vt:i4>5</vt:i4>
      </vt:variant>
      <vt:variant>
        <vt:lpwstr>mailto:dhhs.rfpquestions@nebraska.gov</vt:lpwstr>
      </vt:variant>
      <vt:variant>
        <vt:lpwstr/>
      </vt:variant>
      <vt:variant>
        <vt:i4>7733248</vt:i4>
      </vt:variant>
      <vt:variant>
        <vt:i4>36</vt:i4>
      </vt:variant>
      <vt:variant>
        <vt:i4>0</vt:i4>
      </vt:variant>
      <vt:variant>
        <vt:i4>5</vt:i4>
      </vt:variant>
      <vt:variant>
        <vt:lpwstr>mailto:Hamid.Nouri@gartner.com</vt:lpwstr>
      </vt:variant>
      <vt:variant>
        <vt:lpwstr/>
      </vt:variant>
      <vt:variant>
        <vt:i4>393327</vt:i4>
      </vt:variant>
      <vt:variant>
        <vt:i4>33</vt:i4>
      </vt:variant>
      <vt:variant>
        <vt:i4>0</vt:i4>
      </vt:variant>
      <vt:variant>
        <vt:i4>5</vt:i4>
      </vt:variant>
      <vt:variant>
        <vt:lpwstr>mailto:Kevin.Meadows@gartner.com</vt:lpwstr>
      </vt:variant>
      <vt:variant>
        <vt:lpwstr/>
      </vt:variant>
      <vt:variant>
        <vt:i4>7733248</vt:i4>
      </vt:variant>
      <vt:variant>
        <vt:i4>30</vt:i4>
      </vt:variant>
      <vt:variant>
        <vt:i4>0</vt:i4>
      </vt:variant>
      <vt:variant>
        <vt:i4>5</vt:i4>
      </vt:variant>
      <vt:variant>
        <vt:lpwstr>mailto:Hamid.Nouri@gartner.com</vt:lpwstr>
      </vt:variant>
      <vt:variant>
        <vt:lpwstr/>
      </vt:variant>
      <vt:variant>
        <vt:i4>7733248</vt:i4>
      </vt:variant>
      <vt:variant>
        <vt:i4>27</vt:i4>
      </vt:variant>
      <vt:variant>
        <vt:i4>0</vt:i4>
      </vt:variant>
      <vt:variant>
        <vt:i4>5</vt:i4>
      </vt:variant>
      <vt:variant>
        <vt:lpwstr>mailto:Hamid.Nouri@gartner.com</vt:lpwstr>
      </vt:variant>
      <vt:variant>
        <vt:lpwstr/>
      </vt:variant>
      <vt:variant>
        <vt:i4>7733248</vt:i4>
      </vt:variant>
      <vt:variant>
        <vt:i4>24</vt:i4>
      </vt:variant>
      <vt:variant>
        <vt:i4>0</vt:i4>
      </vt:variant>
      <vt:variant>
        <vt:i4>5</vt:i4>
      </vt:variant>
      <vt:variant>
        <vt:lpwstr>mailto:Hamid.Nouri@gartner.com</vt:lpwstr>
      </vt:variant>
      <vt:variant>
        <vt:lpwstr/>
      </vt:variant>
      <vt:variant>
        <vt:i4>7733248</vt:i4>
      </vt:variant>
      <vt:variant>
        <vt:i4>21</vt:i4>
      </vt:variant>
      <vt:variant>
        <vt:i4>0</vt:i4>
      </vt:variant>
      <vt:variant>
        <vt:i4>5</vt:i4>
      </vt:variant>
      <vt:variant>
        <vt:lpwstr>mailto:Hamid.Nouri@gartner.com</vt:lpwstr>
      </vt:variant>
      <vt:variant>
        <vt:lpwstr/>
      </vt:variant>
      <vt:variant>
        <vt:i4>7733248</vt:i4>
      </vt:variant>
      <vt:variant>
        <vt:i4>18</vt:i4>
      </vt:variant>
      <vt:variant>
        <vt:i4>0</vt:i4>
      </vt:variant>
      <vt:variant>
        <vt:i4>5</vt:i4>
      </vt:variant>
      <vt:variant>
        <vt:lpwstr>mailto:Hamid.Nouri@gartner.com</vt:lpwstr>
      </vt:variant>
      <vt:variant>
        <vt:lpwstr/>
      </vt:variant>
      <vt:variant>
        <vt:i4>7733248</vt:i4>
      </vt:variant>
      <vt:variant>
        <vt:i4>15</vt:i4>
      </vt:variant>
      <vt:variant>
        <vt:i4>0</vt:i4>
      </vt:variant>
      <vt:variant>
        <vt:i4>5</vt:i4>
      </vt:variant>
      <vt:variant>
        <vt:lpwstr>mailto:Hamid.Nouri@gartner.com</vt:lpwstr>
      </vt:variant>
      <vt:variant>
        <vt:lpwstr/>
      </vt:variant>
      <vt:variant>
        <vt:i4>7733248</vt:i4>
      </vt:variant>
      <vt:variant>
        <vt:i4>12</vt:i4>
      </vt:variant>
      <vt:variant>
        <vt:i4>0</vt:i4>
      </vt:variant>
      <vt:variant>
        <vt:i4>5</vt:i4>
      </vt:variant>
      <vt:variant>
        <vt:lpwstr>mailto:Hamid.Nouri@gartner.com</vt:lpwstr>
      </vt:variant>
      <vt:variant>
        <vt:lpwstr/>
      </vt:variant>
      <vt:variant>
        <vt:i4>7733248</vt:i4>
      </vt:variant>
      <vt:variant>
        <vt:i4>9</vt:i4>
      </vt:variant>
      <vt:variant>
        <vt:i4>0</vt:i4>
      </vt:variant>
      <vt:variant>
        <vt:i4>5</vt:i4>
      </vt:variant>
      <vt:variant>
        <vt:lpwstr>mailto:Hamid.Nouri@gartner.com</vt:lpwstr>
      </vt:variant>
      <vt:variant>
        <vt:lpwstr/>
      </vt:variant>
      <vt:variant>
        <vt:i4>7733248</vt:i4>
      </vt:variant>
      <vt:variant>
        <vt:i4>6</vt:i4>
      </vt:variant>
      <vt:variant>
        <vt:i4>0</vt:i4>
      </vt:variant>
      <vt:variant>
        <vt:i4>5</vt:i4>
      </vt:variant>
      <vt:variant>
        <vt:lpwstr>mailto:Hamid.Nouri@gartner.com</vt:lpwstr>
      </vt:variant>
      <vt:variant>
        <vt:lpwstr/>
      </vt:variant>
      <vt:variant>
        <vt:i4>7733248</vt:i4>
      </vt:variant>
      <vt:variant>
        <vt:i4>3</vt:i4>
      </vt:variant>
      <vt:variant>
        <vt:i4>0</vt:i4>
      </vt:variant>
      <vt:variant>
        <vt:i4>5</vt:i4>
      </vt:variant>
      <vt:variant>
        <vt:lpwstr>mailto:Hamid.Nouri@gartner.com</vt:lpwstr>
      </vt:variant>
      <vt:variant>
        <vt:lpwstr/>
      </vt:variant>
      <vt:variant>
        <vt:i4>7733248</vt:i4>
      </vt:variant>
      <vt:variant>
        <vt:i4>0</vt:i4>
      </vt:variant>
      <vt:variant>
        <vt:i4>0</vt:i4>
      </vt:variant>
      <vt:variant>
        <vt:i4>5</vt:i4>
      </vt:variant>
      <vt:variant>
        <vt:lpwstr>mailto:Hamid.Nouri@gartner.com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DocumentTitle</dc:title>
  <dc:subject>EngagementAlias</dc:subject>
  <dc:creator>Kevin Meadows</dc:creator>
  <cp:keywords/>
  <dc:description>Template Version: 7 August 2020</dc:description>
  <cp:lastModifiedBy>Keith Roland</cp:lastModifiedBy>
  <cp:revision>3</cp:revision>
  <cp:lastPrinted>2006-03-08T15:52:00Z</cp:lastPrinted>
  <dcterms:created xsi:type="dcterms:W3CDTF">2020-11-13T14:43:00Z</dcterms:created>
  <dcterms:modified xsi:type="dcterms:W3CDTF">2020-11-13T15:50:00Z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yMonth">
    <vt:lpwstr>DayMonth</vt:lpwstr>
  </property>
  <property fmtid="{D5CDD505-2E9C-101B-9397-08002B2CF9AE}" pid="3" name="Year">
    <vt:lpwstr>2019</vt:lpwstr>
  </property>
  <property fmtid="{D5CDD505-2E9C-101B-9397-08002B2CF9AE}" pid="4" name="CCname">
    <vt:lpwstr>CCname</vt:lpwstr>
  </property>
  <property fmtid="{D5CDD505-2E9C-101B-9397-08002B2CF9AE}" pid="5" name="CCphone">
    <vt:lpwstr>+1 CCphone</vt:lpwstr>
  </property>
  <property fmtid="{D5CDD505-2E9C-101B-9397-08002B2CF9AE}" pid="6" name="CCfax">
    <vt:lpwstr>+1 CCfax</vt:lpwstr>
  </property>
  <property fmtid="{D5CDD505-2E9C-101B-9397-08002B2CF9AE}" pid="7" name="CCemail">
    <vt:lpwstr>CCemail</vt:lpwstr>
  </property>
  <property fmtid="{D5CDD505-2E9C-101B-9397-08002B2CF9AE}" pid="8" name="DocumentType">
    <vt:lpwstr>Report</vt:lpwstr>
  </property>
  <property fmtid="{D5CDD505-2E9C-101B-9397-08002B2CF9AE}" pid="9" name="GCtitle">
    <vt:lpwstr>GCtitle</vt:lpwstr>
  </property>
  <property fmtid="{D5CDD505-2E9C-101B-9397-08002B2CF9AE}" pid="10" name="GCname">
    <vt:lpwstr>GCname</vt:lpwstr>
  </property>
  <property fmtid="{D5CDD505-2E9C-101B-9397-08002B2CF9AE}" pid="11" name="GCphone">
    <vt:lpwstr>+1 GCphone</vt:lpwstr>
  </property>
  <property fmtid="{D5CDD505-2E9C-101B-9397-08002B2CF9AE}" pid="12" name="GCfax">
    <vt:lpwstr>+1 GCfax</vt:lpwstr>
  </property>
  <property fmtid="{D5CDD505-2E9C-101B-9397-08002B2CF9AE}" pid="13" name="GCemail">
    <vt:lpwstr>first.last@gartner.com</vt:lpwstr>
  </property>
  <property fmtid="{D5CDD505-2E9C-101B-9397-08002B2CF9AE}" pid="14" name="GCadd">
    <vt:lpwstr>GCadd</vt:lpwstr>
  </property>
  <property fmtid="{D5CDD505-2E9C-101B-9397-08002B2CF9AE}" pid="15" name="CCadd">
    <vt:lpwstr>CCadd</vt:lpwstr>
  </property>
  <property fmtid="{D5CDD505-2E9C-101B-9397-08002B2CF9AE}" pid="16" name="CCfirstname">
    <vt:lpwstr>CCfirstname</vt:lpwstr>
  </property>
  <property fmtid="{D5CDD505-2E9C-101B-9397-08002B2CF9AE}" pid="17" name="CClastname">
    <vt:lpwstr>CClastname</vt:lpwstr>
  </property>
  <property fmtid="{D5CDD505-2E9C-101B-9397-08002B2CF9AE}" pid="18" name="CCtitle">
    <vt:lpwstr>CCtitle</vt:lpwstr>
  </property>
  <property fmtid="{D5CDD505-2E9C-101B-9397-08002B2CF9AE}" pid="19" name="LegalName">
    <vt:lpwstr>Gartner, Inc.</vt:lpwstr>
  </property>
  <property fmtid="{D5CDD505-2E9C-101B-9397-08002B2CF9AE}" pid="20" name="VersionNumber">
    <vt:lpwstr>1</vt:lpwstr>
  </property>
  <property fmtid="{D5CDD505-2E9C-101B-9397-08002B2CF9AE}" pid="21" name="Consulting Template">
    <vt:bool>true</vt:bool>
  </property>
  <property fmtid="{D5CDD505-2E9C-101B-9397-08002B2CF9AE}" pid="22" name="ContentTypeId">
    <vt:lpwstr>0x010100BAD75EA75CD83B45A34259F0B184D0270046BCFC8BEE9F164099E99F62FD0393EA</vt:lpwstr>
  </property>
  <property fmtid="{D5CDD505-2E9C-101B-9397-08002B2CF9AE}" pid="23" name="_NewReviewCycle">
    <vt:lpwstr/>
  </property>
  <property fmtid="{D5CDD505-2E9C-101B-9397-08002B2CF9AE}" pid="24" name="_AdHocReviewCycleID">
    <vt:i4>83668270</vt:i4>
  </property>
  <property fmtid="{D5CDD505-2E9C-101B-9397-08002B2CF9AE}" pid="25" name="_EmailSubject">
    <vt:lpwstr>iServe RFQ - Grants and Contracts Opportunities page</vt:lpwstr>
  </property>
  <property fmtid="{D5CDD505-2E9C-101B-9397-08002B2CF9AE}" pid="26" name="_AuthorEmail">
    <vt:lpwstr>Keith.Roland@nebraska.gov</vt:lpwstr>
  </property>
  <property fmtid="{D5CDD505-2E9C-101B-9397-08002B2CF9AE}" pid="27" name="_AuthorEmailDisplayName">
    <vt:lpwstr>Roland, Keith</vt:lpwstr>
  </property>
  <property fmtid="{D5CDD505-2E9C-101B-9397-08002B2CF9AE}" pid="28" name="xd_Signature">
    <vt:bool>false</vt:bool>
  </property>
  <property fmtid="{D5CDD505-2E9C-101B-9397-08002B2CF9AE}" pid="29" name="xd_ProgID">
    <vt:lpwstr/>
  </property>
  <property fmtid="{D5CDD505-2E9C-101B-9397-08002B2CF9AE}" pid="30" name="_SourceUrl">
    <vt:lpwstr/>
  </property>
  <property fmtid="{D5CDD505-2E9C-101B-9397-08002B2CF9AE}" pid="31" name="_SharedFileIndex">
    <vt:lpwstr/>
  </property>
  <property fmtid="{D5CDD505-2E9C-101B-9397-08002B2CF9AE}" pid="32" name="TemplateUrl">
    <vt:lpwstr/>
  </property>
  <property fmtid="{D5CDD505-2E9C-101B-9397-08002B2CF9AE}" pid="33" name="ComplianceAssetId">
    <vt:lpwstr/>
  </property>
</Properties>
</file>